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line="240" w:lineRule="auto"/>
        <w:ind w:firstLine="0" w:left="4820"/>
        <w:jc w:val="both"/>
        <w:rPr>
          <w:color w:val="000000"/>
          <w:sz w:val="28"/>
        </w:rPr>
      </w:pPr>
      <w:r>
        <w:rPr>
          <w:color w:val="000000"/>
          <w:sz w:val="28"/>
        </w:rPr>
        <w:t>Приложение 1</w:t>
      </w:r>
    </w:p>
    <w:p w14:paraId="04000000">
      <w:pPr>
        <w:pStyle w:val="Style_2"/>
        <w:spacing w:line="240" w:lineRule="auto"/>
        <w:ind w:firstLine="0" w:left="4820"/>
        <w:jc w:val="both"/>
        <w:rPr>
          <w:color w:val="000000"/>
          <w:sz w:val="28"/>
        </w:rPr>
      </w:pPr>
    </w:p>
    <w:p w14:paraId="05000000">
      <w:pPr>
        <w:pStyle w:val="Style_2"/>
        <w:spacing w:line="240" w:lineRule="auto"/>
        <w:ind w:firstLine="0" w:left="4820"/>
        <w:jc w:val="both"/>
        <w:rPr>
          <w:color w:val="000000"/>
          <w:sz w:val="28"/>
        </w:rPr>
      </w:pPr>
      <w:r>
        <w:rPr>
          <w:color w:val="000000"/>
          <w:sz w:val="28"/>
        </w:rPr>
        <w:t>УТВЕРЖДЕНО</w:t>
      </w:r>
    </w:p>
    <w:p w14:paraId="06000000">
      <w:pPr>
        <w:spacing w:after="0" w:line="240" w:lineRule="auto"/>
        <w:ind w:firstLine="0"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решением Совета </w:t>
      </w:r>
    </w:p>
    <w:p w14:paraId="07000000">
      <w:pPr>
        <w:spacing w:after="0" w:line="240" w:lineRule="auto"/>
        <w:ind w:firstLine="0"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 Туапсинский муниципальный округ Краснодарского края</w:t>
      </w:r>
    </w:p>
    <w:p w14:paraId="08000000">
      <w:pPr>
        <w:pStyle w:val="Style_2"/>
        <w:spacing w:line="240" w:lineRule="auto"/>
        <w:ind w:firstLine="0" w:left="4820"/>
        <w:rPr>
          <w:color w:val="000000"/>
          <w:sz w:val="28"/>
        </w:rPr>
      </w:pPr>
      <w:r>
        <w:rPr>
          <w:color w:val="000000"/>
          <w:sz w:val="28"/>
        </w:rPr>
        <w:t>от 27.02.2026  № 362</w:t>
      </w:r>
    </w:p>
    <w:p w14:paraId="09000000">
      <w:pPr>
        <w:pStyle w:val="Style_2"/>
        <w:spacing w:line="240" w:lineRule="auto"/>
        <w:ind w:firstLine="0" w:left="4820"/>
        <w:rPr>
          <w:color w:val="000000"/>
          <w:sz w:val="28"/>
        </w:rPr>
      </w:pPr>
    </w:p>
    <w:p w14:paraId="0A000000">
      <w:pPr>
        <w:pStyle w:val="Style_2"/>
        <w:spacing w:line="240" w:lineRule="auto"/>
        <w:ind w:firstLine="0" w:left="4820"/>
        <w:rPr>
          <w:color w:val="000000"/>
          <w:sz w:val="28"/>
        </w:rPr>
      </w:pPr>
    </w:p>
    <w:p w14:paraId="0B000000">
      <w:pPr>
        <w:spacing w:after="0" w:line="240" w:lineRule="auto"/>
        <w:ind w:firstLine="0" w:left="567" w:right="56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C000000">
      <w:pPr>
        <w:spacing w:after="0" w:line="240" w:lineRule="auto"/>
        <w:ind w:firstLine="0" w:left="567" w:right="56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увековечении памяти на территории Туапсинского муниципального округа погибших при защите Отечества</w:t>
      </w:r>
    </w:p>
    <w:p w14:paraId="0D000000">
      <w:pPr>
        <w:spacing w:after="0" w:line="240" w:lineRule="auto"/>
        <w:ind w:firstLine="0" w:left="567" w:right="566"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pStyle w:val="Style_3"/>
        <w:numPr>
          <w:ilvl w:val="0"/>
          <w:numId w:val="1"/>
        </w:numPr>
        <w:tabs>
          <w:tab w:leader="none" w:pos="426" w:val="left"/>
        </w:tabs>
        <w:ind w:firstLine="0" w:left="0" w:right="-1"/>
        <w:jc w:val="center"/>
        <w:rPr>
          <w:sz w:val="28"/>
        </w:rPr>
      </w:pPr>
      <w:r>
        <w:rPr>
          <w:sz w:val="28"/>
        </w:rPr>
        <w:t>Общие положения</w:t>
      </w:r>
    </w:p>
    <w:p w14:paraId="0F000000">
      <w:pPr>
        <w:pStyle w:val="Style_3"/>
        <w:rPr>
          <w:sz w:val="28"/>
        </w:rPr>
      </w:pPr>
    </w:p>
    <w:p w14:paraId="10000000">
      <w:pPr>
        <w:pStyle w:val="Style_4"/>
        <w:numPr>
          <w:ilvl w:val="0"/>
          <w:numId w:val="2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</w:t>
      </w:r>
      <w:r>
        <w:rPr>
          <w:rFonts w:ascii="Times New Roman" w:hAnsi="Times New Roman"/>
          <w:sz w:val="28"/>
        </w:rPr>
        <w:t>Положение</w:t>
      </w:r>
      <w:r>
        <w:rPr>
          <w:rFonts w:ascii="Times New Roman" w:hAnsi="Times New Roman"/>
          <w:sz w:val="28"/>
        </w:rPr>
        <w:t xml:space="preserve"> об увековечении памяти на территории Туапсинского муниципального округа погибших при защите Отечества </w:t>
      </w:r>
      <w:r>
        <w:rPr>
          <w:rFonts w:ascii="Times New Roman" w:hAnsi="Times New Roman"/>
          <w:sz w:val="28"/>
        </w:rPr>
        <w:t>(далее – Положение)</w:t>
      </w:r>
      <w:r>
        <w:rPr>
          <w:rFonts w:ascii="Times New Roman" w:hAnsi="Times New Roman"/>
          <w:sz w:val="28"/>
        </w:rPr>
        <w:t xml:space="preserve"> разработано в соответствии с действующим законодательством Российской Федерации, Краснодарского края и нормативными правовыми актами Туапсинского муниципального округа в целях упорядочения деятельности органов местного самоуправления Туапсинского муниципального округа по увековечению памяти на территории Туапсинского муниципального округа </w:t>
      </w:r>
      <w:r>
        <w:rPr>
          <w:rFonts w:ascii="Times New Roman" w:hAnsi="Times New Roman"/>
          <w:sz w:val="28"/>
        </w:rPr>
        <w:t>погибших при защите Отечества</w:t>
      </w:r>
      <w:r>
        <w:rPr>
          <w:rFonts w:ascii="Times New Roman" w:hAnsi="Times New Roman"/>
          <w:sz w:val="28"/>
        </w:rPr>
        <w:t>, воспитания в гражданах чувства патриотизма и уважения к его историческим традициям и культурному наследию.</w:t>
      </w:r>
    </w:p>
    <w:p w14:paraId="11000000">
      <w:pPr>
        <w:pStyle w:val="Style_4"/>
        <w:numPr>
          <w:ilvl w:val="0"/>
          <w:numId w:val="2"/>
        </w:numPr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 определяет:</w:t>
      </w:r>
    </w:p>
    <w:p w14:paraId="12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основные цели, задачи, порядок и принципы его формирования по увековечению памяти на территории Туапсинского муниципального округа </w:t>
      </w:r>
      <w:r>
        <w:rPr>
          <w:rFonts w:ascii="Times New Roman" w:hAnsi="Times New Roman"/>
          <w:sz w:val="28"/>
        </w:rPr>
        <w:t>погибших при защите Отечества</w:t>
      </w:r>
      <w:r>
        <w:rPr>
          <w:rFonts w:ascii="Times New Roman" w:hAnsi="Times New Roman"/>
          <w:sz w:val="28"/>
        </w:rPr>
        <w:t>;</w:t>
      </w:r>
    </w:p>
    <w:p w14:paraId="13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порядок рассмотрения и решения вопросов по увековечению памяти на территории Туапсинского муниципального округа погибших при защите Отечества:</w:t>
      </w:r>
    </w:p>
    <w:p w14:paraId="14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присвоению имен учреждениям, предприятиям, организациям, объединениям, градостроительным и градообразующим объектам;</w:t>
      </w:r>
    </w:p>
    <w:p w14:paraId="15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установке мемориальных досок, памятных знаков, памятников, бюстов скульптур, архитектурно-скульптурных композиций, обелисков, стел, памятного камня и т.д.;</w:t>
      </w:r>
    </w:p>
    <w:p w14:paraId="16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порядок рассмотрения и решения вопросов о демонтаже на территории Туапсинского муниципального округа мемориальных досок, памятных знаков, памятников, бюстов скульптур, архитектурно-скульптурных композиций, обелисков, стел, памятного камня и т.д. увековечивших память погибших при защите Отечества.</w:t>
      </w:r>
    </w:p>
    <w:p w14:paraId="17000000">
      <w:pPr>
        <w:pStyle w:val="Style_2"/>
        <w:numPr>
          <w:ilvl w:val="0"/>
          <w:numId w:val="2"/>
        </w:numPr>
        <w:tabs>
          <w:tab w:leader="none" w:pos="1134" w:val="left"/>
        </w:tabs>
        <w:spacing w:line="240" w:lineRule="auto"/>
        <w:ind w:firstLine="709" w:left="0"/>
        <w:jc w:val="both"/>
        <w:rPr>
          <w:sz w:val="28"/>
        </w:rPr>
      </w:pPr>
      <w:bookmarkStart w:id="1" w:name="bookmark10"/>
      <w:bookmarkEnd w:id="1"/>
      <w:r>
        <w:rPr>
          <w:color w:val="000000"/>
          <w:sz w:val="28"/>
        </w:rPr>
        <w:t xml:space="preserve">Не допускается переименование учреждений, предприятий, </w:t>
      </w:r>
      <w:r>
        <w:rPr>
          <w:color w:val="000000"/>
          <w:sz w:val="28"/>
        </w:rPr>
        <w:t xml:space="preserve">организаций, объединений, градостроительных и градообразующих объектов, которым уже присвоено имя </w:t>
      </w:r>
      <w:r>
        <w:rPr>
          <w:color w:val="000000"/>
          <w:sz w:val="28"/>
        </w:rPr>
        <w:t>погибшего при защите Отечества</w:t>
      </w:r>
      <w:r>
        <w:rPr>
          <w:color w:val="000000"/>
          <w:sz w:val="28"/>
        </w:rPr>
        <w:t xml:space="preserve"> или лица, имеющего особые заслуги перед государством, Краснодарским краем или Туапсинским муниципальным </w:t>
      </w:r>
      <w:r>
        <w:rPr>
          <w:color w:val="000000"/>
          <w:sz w:val="28"/>
        </w:rPr>
        <w:t>округом (Туапсинским районом),</w:t>
      </w:r>
      <w:r>
        <w:rPr>
          <w:color w:val="000000"/>
          <w:sz w:val="28"/>
        </w:rPr>
        <w:t xml:space="preserve"> за исключением случаев, когда необходимо восстановить историческое наименование объекта, при этом должны быть проведены мероприятия по увековечению памяти указанного </w:t>
      </w:r>
      <w:r>
        <w:rPr>
          <w:color w:val="000000"/>
          <w:sz w:val="28"/>
        </w:rPr>
        <w:t>лица в иной форме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согласно действующего законодательств Российской </w:t>
      </w:r>
      <w:r>
        <w:rPr>
          <w:color w:val="000000"/>
          <w:sz w:val="28"/>
        </w:rPr>
        <w:t>Федерации</w:t>
      </w:r>
      <w:r>
        <w:rPr>
          <w:color w:val="000000"/>
          <w:sz w:val="28"/>
        </w:rPr>
        <w:t>.</w:t>
      </w:r>
      <w:bookmarkStart w:id="2" w:name="bookmark11"/>
      <w:bookmarkEnd w:id="2"/>
    </w:p>
    <w:p w14:paraId="18000000">
      <w:pPr>
        <w:pStyle w:val="Style_2"/>
        <w:numPr>
          <w:ilvl w:val="0"/>
          <w:numId w:val="2"/>
        </w:numPr>
        <w:tabs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Инициаторами увековечения памяти на территории Туапсинского муниципального округа погибших при защите Отечества могут выступать граждане, юридические лица независимо от организационно-правовых форм и форм собственности, трудовые коллективы, единоличные или коллегиальные органы управления соответствующих организаций, государственные органы, органы местного самоуправления, общественные объединения (далее – инициатор).</w:t>
      </w:r>
    </w:p>
    <w:p w14:paraId="19000000">
      <w:pPr>
        <w:pStyle w:val="Style_2"/>
        <w:numPr>
          <w:ilvl w:val="0"/>
          <w:numId w:val="2"/>
        </w:numPr>
        <w:tabs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Основные формы увековечения памяти защитников Отечества закреплены в статье 2 Закона Российской Федерации от 14 января 1993 г.      № 4292-I «Об увековечении памяти погибших при защите Отечества». По решению органов местного самоуправления, общественно-государственных объединений, общественных объединений могут осуществляться и другие мероприятия по увековечению памяти защитников Отечества.</w:t>
      </w:r>
    </w:p>
    <w:p w14:paraId="1A000000">
      <w:pPr>
        <w:pStyle w:val="Style_2"/>
        <w:numPr>
          <w:ilvl w:val="0"/>
          <w:numId w:val="2"/>
        </w:numPr>
        <w:tabs>
          <w:tab w:leader="none" w:pos="1134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color w:val="000000"/>
          <w:sz w:val="28"/>
        </w:rPr>
        <w:t>Присвоение</w:t>
      </w:r>
      <w:r>
        <w:rPr>
          <w:color w:val="000000"/>
          <w:sz w:val="28"/>
        </w:rPr>
        <w:t xml:space="preserve"> улицам, площадям, географическим объектам, образовательным организациям, библиотекам, другим объектам социальной инфраструктуры, в том числе образовательным организациям, учреждениям имен защитников Отечества – необходимо проводить не дублируя увековечение памяти одного защитника Отечества по различным категориям указанной формы увековечения памяти.</w:t>
      </w:r>
    </w:p>
    <w:p w14:paraId="1B000000">
      <w:pPr>
        <w:pStyle w:val="Style_2"/>
        <w:tabs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Установка памятных знаков и табличек на зданиях и сооружениях, связанных с жизнью и деятельностью защитников Отечества, </w:t>
      </w:r>
      <w:r>
        <w:rPr>
          <w:color w:val="000000"/>
          <w:sz w:val="28"/>
        </w:rPr>
        <w:t>–</w:t>
      </w:r>
      <w:r>
        <w:rPr>
          <w:color w:val="000000"/>
          <w:sz w:val="28"/>
        </w:rPr>
        <w:t xml:space="preserve"> осуществляется не более одного знака на защитника Отечества (группу защитников Отечества).</w:t>
      </w:r>
    </w:p>
    <w:p w14:paraId="1C000000">
      <w:pPr>
        <w:pStyle w:val="Style_2"/>
        <w:tabs>
          <w:tab w:leader="none" w:pos="1134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color w:val="000000"/>
          <w:sz w:val="28"/>
        </w:rPr>
        <w:t>В память о выдающейся личности или событии в пределах населенного пункта устанавливается только одно мемориальное сооружение.</w:t>
      </w:r>
    </w:p>
    <w:p w14:paraId="1D000000">
      <w:pPr>
        <w:pStyle w:val="Style_2"/>
        <w:tabs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 не устанавливаются.</w:t>
      </w:r>
    </w:p>
    <w:p w14:paraId="1E000000">
      <w:pPr>
        <w:pStyle w:val="Style_2"/>
        <w:numPr>
          <w:ilvl w:val="0"/>
          <w:numId w:val="2"/>
        </w:numPr>
        <w:tabs>
          <w:tab w:leader="none" w:pos="1134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color w:val="000000"/>
          <w:sz w:val="28"/>
        </w:rPr>
        <w:t>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14:paraId="1F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20000000">
      <w:pPr>
        <w:pStyle w:val="Style_4"/>
        <w:numPr>
          <w:ilvl w:val="0"/>
          <w:numId w:val="1"/>
        </w:numPr>
        <w:tabs>
          <w:tab w:leader="none" w:pos="426" w:val="left"/>
        </w:tabs>
        <w:ind w:firstLine="0" w:left="0" w:right="-1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Основные цели и задачи </w:t>
      </w:r>
    </w:p>
    <w:p w14:paraId="21000000">
      <w:pPr>
        <w:pStyle w:val="Style_4"/>
        <w:ind w:firstLine="709" w:left="0"/>
        <w:jc w:val="both"/>
        <w:rPr>
          <w:rFonts w:ascii="Times New Roman" w:hAnsi="Times New Roman"/>
          <w:sz w:val="28"/>
        </w:rPr>
      </w:pPr>
    </w:p>
    <w:p w14:paraId="22000000">
      <w:pPr>
        <w:pStyle w:val="Style_4"/>
        <w:tabs>
          <w:tab w:leader="none" w:pos="1134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целями и задачами по увековечению памяти на территории Туапсинского муниципального округа </w:t>
      </w:r>
      <w:r>
        <w:rPr>
          <w:rFonts w:ascii="Times New Roman" w:hAnsi="Times New Roman"/>
          <w:sz w:val="28"/>
        </w:rPr>
        <w:t>погибших при защите Отечества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являются:</w:t>
      </w:r>
    </w:p>
    <w:p w14:paraId="23000000">
      <w:pPr>
        <w:pStyle w:val="Style_5"/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</w:r>
      <w:r>
        <w:rPr>
          <w:sz w:val="28"/>
        </w:rPr>
        <w:t xml:space="preserve">содействие сохранению памяти населения Туапсинского муниципального округа о </w:t>
      </w:r>
      <w:r>
        <w:rPr>
          <w:sz w:val="28"/>
        </w:rPr>
        <w:t xml:space="preserve">погибших при защите Отечества </w:t>
      </w:r>
      <w:r>
        <w:rPr>
          <w:sz w:val="28"/>
        </w:rPr>
        <w:t>и значимых событиях в истории государства;</w:t>
      </w:r>
      <w:r>
        <w:rPr>
          <w:sz w:val="28"/>
        </w:rPr>
        <w:t xml:space="preserve"> </w:t>
      </w:r>
    </w:p>
    <w:p w14:paraId="24000000">
      <w:pPr>
        <w:pStyle w:val="Style_5"/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ab/>
      </w:r>
      <w:r>
        <w:rPr>
          <w:sz w:val="28"/>
        </w:rPr>
        <w:t xml:space="preserve">присвоение имен учреждениям, предприятиям, организациям </w:t>
      </w:r>
      <w:r>
        <w:rPr>
          <w:sz w:val="28"/>
        </w:rPr>
        <w:t xml:space="preserve"> </w:t>
      </w:r>
      <w:r>
        <w:rPr>
          <w:sz w:val="28"/>
        </w:rPr>
        <w:t xml:space="preserve">(далее – организации), улицам, скверам, площадям, бульварам, проездам, переулкам, проспектам, шоссе (далее – </w:t>
      </w:r>
      <w:bookmarkStart w:id="3" w:name="_Hlk215668397"/>
      <w:r>
        <w:rPr>
          <w:sz w:val="28"/>
        </w:rPr>
        <w:t>градообразующие объекты</w:t>
      </w:r>
      <w:bookmarkEnd w:id="3"/>
      <w:r>
        <w:rPr>
          <w:sz w:val="28"/>
        </w:rPr>
        <w:t>), установка мемориальных досок, памятных знаков, памятников, мемориальных сооружений, скульптур, архитектурно-скульптурных композиций, обелисков, стел, памятного камня (далее соответственно – памятные знаки, мемориальные сооружения) на территории Туапсинского муниципального округа;</w:t>
      </w:r>
    </w:p>
    <w:p w14:paraId="25000000">
      <w:pPr>
        <w:pStyle w:val="Style_5"/>
        <w:tabs>
          <w:tab w:leader="none" w:pos="1134" w:val="left"/>
        </w:tabs>
        <w:spacing w:after="0"/>
        <w:ind w:firstLine="709" w:left="0"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ab/>
      </w:r>
      <w:r>
        <w:rPr>
          <w:sz w:val="28"/>
        </w:rPr>
        <w:t>упорядочение рассмотрения ходатайств и документов, предоставляемых инициатором в администрацию Туапсинского муниципального округа.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7000000">
      <w:pPr>
        <w:tabs>
          <w:tab w:leader="none" w:pos="426" w:val="left"/>
        </w:tabs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Критерии, являющиеся основными для принятия решений</w:t>
      </w:r>
    </w:p>
    <w:p w14:paraId="28000000">
      <w:pPr>
        <w:tabs>
          <w:tab w:leader="none" w:pos="993" w:val="left"/>
        </w:tabs>
        <w:spacing w:after="0" w:line="240" w:lineRule="auto"/>
        <w:ind w:firstLine="0" w:left="709" w:right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увековечении памяти</w:t>
      </w:r>
    </w:p>
    <w:p w14:paraId="29000000">
      <w:pPr>
        <w:spacing w:after="0" w:line="240" w:lineRule="auto"/>
        <w:ind w:firstLine="0" w:left="851"/>
        <w:jc w:val="center"/>
        <w:rPr>
          <w:rFonts w:ascii="Times New Roman" w:hAnsi="Times New Roman"/>
          <w:sz w:val="28"/>
        </w:rPr>
      </w:pPr>
    </w:p>
    <w:p w14:paraId="2A000000">
      <w:pPr>
        <w:pStyle w:val="Style_2"/>
        <w:numPr>
          <w:ilvl w:val="0"/>
          <w:numId w:val="3"/>
        </w:numPr>
        <w:tabs>
          <w:tab w:leader="none" w:pos="1134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color w:val="000000"/>
          <w:sz w:val="28"/>
        </w:rPr>
        <w:t>Критериями, являющимися основанием для принятия решения об увековечении памяти на территории Туапсинского муниципального округа, являются:</w:t>
      </w:r>
    </w:p>
    <w:p w14:paraId="2B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14:paraId="2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гибель при выполнении воинского долга на территориях других государств;</w:t>
      </w:r>
    </w:p>
    <w:p w14:paraId="2D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14:paraId="2E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значимость поступка, совершенного защитником Отечества; </w:t>
      </w:r>
    </w:p>
    <w:p w14:paraId="2F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наличие заслуг перед Отечеством;</w:t>
      </w:r>
    </w:p>
    <w:p w14:paraId="30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14:paraId="3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14:paraId="3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Дань памяти воздается и иностранным гражданам, погибшим при защите России.</w:t>
      </w:r>
    </w:p>
    <w:p w14:paraId="3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Кроме того, 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14:paraId="34000000">
      <w:pPr>
        <w:pStyle w:val="Style_3"/>
        <w:numPr>
          <w:ilvl w:val="0"/>
          <w:numId w:val="3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Создание </w:t>
      </w:r>
      <w:bookmarkStart w:id="4" w:name="_Hlk213761171"/>
      <w:r>
        <w:rPr>
          <w:sz w:val="28"/>
        </w:rPr>
        <w:t xml:space="preserve">мемориального сооружения </w:t>
      </w:r>
      <w:bookmarkEnd w:id="4"/>
      <w:r>
        <w:rPr>
          <w:sz w:val="28"/>
        </w:rPr>
        <w:t xml:space="preserve">в память о погибшем защитнике Отечества осуществляется не ранее чем через 2 (два) года 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 </w:t>
      </w:r>
    </w:p>
    <w:p w14:paraId="3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достижения срока, указанного в пункте 2 раздела 3 Положения, может быть увековечена память</w:t>
      </w:r>
      <w:r>
        <w:rPr>
          <w:rFonts w:ascii="Times New Roman" w:hAnsi="Times New Roman"/>
          <w:sz w:val="28"/>
        </w:rPr>
        <w:t xml:space="preserve"> погибших при защите Отечества,</w:t>
      </w:r>
      <w:r>
        <w:rPr>
          <w:rFonts w:ascii="Times New Roman" w:hAnsi="Times New Roman"/>
          <w:sz w:val="28"/>
        </w:rPr>
        <w:t xml:space="preserve"> Героев Советского Союза, Героев Российской Федерации, а в исключительных случаях иных жителей поселений </w:t>
      </w:r>
      <w:r>
        <w:rPr>
          <w:rFonts w:ascii="Times New Roman" w:hAnsi="Times New Roman"/>
          <w:sz w:val="28"/>
        </w:rPr>
        <w:t xml:space="preserve">Туапсинского муниципального округа </w:t>
      </w:r>
      <w:r>
        <w:rPr>
          <w:rFonts w:ascii="Times New Roman" w:hAnsi="Times New Roman"/>
          <w:sz w:val="28"/>
        </w:rPr>
        <w:t xml:space="preserve">по представлению администрации Туапсинского муниципального округа или Совета </w:t>
      </w:r>
      <w:r>
        <w:rPr>
          <w:rFonts w:ascii="Times New Roman" w:hAnsi="Times New Roman"/>
          <w:sz w:val="28"/>
        </w:rPr>
        <w:t>муниципального образования Туапсинский муниципальный округ Краснодарского края</w:t>
      </w:r>
      <w:r>
        <w:rPr>
          <w:rFonts w:ascii="Times New Roman" w:hAnsi="Times New Roman"/>
          <w:sz w:val="28"/>
        </w:rPr>
        <w:t>.</w:t>
      </w:r>
    </w:p>
    <w:p w14:paraId="3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7000000">
      <w:pPr>
        <w:pStyle w:val="Style_3"/>
        <w:tabs>
          <w:tab w:leader="none" w:pos="426" w:val="left"/>
          <w:tab w:leader="none" w:pos="993" w:val="left"/>
        </w:tabs>
        <w:ind w:firstLine="0" w:left="0" w:right="708"/>
        <w:jc w:val="center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>
        <w:rPr>
          <w:sz w:val="28"/>
        </w:rPr>
        <w:t xml:space="preserve">Присвоение имен </w:t>
      </w:r>
      <w:r>
        <w:rPr>
          <w:sz w:val="28"/>
        </w:rPr>
        <w:t>защитникам Отечества</w:t>
      </w:r>
    </w:p>
    <w:p w14:paraId="38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center"/>
        <w:rPr>
          <w:sz w:val="28"/>
        </w:rPr>
      </w:pPr>
    </w:p>
    <w:p w14:paraId="39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>
        <w:rPr>
          <w:sz w:val="28"/>
        </w:rPr>
        <w:t xml:space="preserve">Имена </w:t>
      </w:r>
      <w:r>
        <w:rPr>
          <w:color w:val="000000"/>
          <w:sz w:val="28"/>
        </w:rPr>
        <w:t xml:space="preserve">отличившихся </w:t>
      </w:r>
      <w:r>
        <w:rPr>
          <w:sz w:val="28"/>
        </w:rPr>
        <w:t xml:space="preserve">защитников Отечества </w:t>
      </w:r>
      <w:r>
        <w:rPr>
          <w:sz w:val="28"/>
        </w:rPr>
        <w:t>присваиваются организациям, в которых они обучались, работали, проходили службу и т.д.</w:t>
      </w:r>
    </w:p>
    <w:p w14:paraId="3A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>
        <w:rPr>
          <w:sz w:val="28"/>
        </w:rPr>
        <w:t xml:space="preserve">Инициатор, претендующий на присвоение имени, должен продемонстрировать повышенное внимание к жизни и деятельности </w:t>
      </w:r>
      <w:r>
        <w:rPr>
          <w:sz w:val="28"/>
        </w:rPr>
        <w:t xml:space="preserve">защитника Отечества, </w:t>
      </w:r>
      <w:r>
        <w:rPr>
          <w:sz w:val="28"/>
        </w:rPr>
        <w:t>в виде сбора биографических сведений о личности, обобщения материалов, оформления альбома, стенда, мемориальной комнаты, уголка или музея, с использованием иллюстраций, копий документов, фотографий, наличия в учреждении портрета, барельефа, бюста, мемориальной доски, памятного знака или в ином виде.</w:t>
      </w:r>
    </w:p>
    <w:p w14:paraId="3B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>
        <w:rPr>
          <w:sz w:val="28"/>
        </w:rPr>
        <w:t xml:space="preserve">При наличии условий для присвоения имени </w:t>
      </w:r>
      <w:r>
        <w:rPr>
          <w:color w:val="000000"/>
          <w:sz w:val="28"/>
        </w:rPr>
        <w:t>отличившегося</w:t>
      </w:r>
      <w:r>
        <w:rPr>
          <w:sz w:val="28"/>
        </w:rPr>
        <w:t xml:space="preserve"> защитника Отечества</w:t>
      </w:r>
      <w:r>
        <w:rPr>
          <w:sz w:val="28"/>
        </w:rPr>
        <w:t xml:space="preserve"> руководитель организации подает ходатайство и необходимый перечень документов в администрацию Туапсинского муниципального округа.</w:t>
      </w:r>
    </w:p>
    <w:p w14:paraId="3C000000">
      <w:pPr>
        <w:pStyle w:val="Style_3"/>
        <w:tabs>
          <w:tab w:leader="none" w:pos="0" w:val="left"/>
        </w:tabs>
        <w:ind w:firstLine="0" w:left="851"/>
        <w:jc w:val="center"/>
        <w:rPr>
          <w:sz w:val="28"/>
        </w:rPr>
      </w:pPr>
    </w:p>
    <w:p w14:paraId="3D000000">
      <w:pPr>
        <w:pStyle w:val="Style_3"/>
        <w:numPr>
          <w:ilvl w:val="0"/>
          <w:numId w:val="4"/>
        </w:numPr>
        <w:tabs>
          <w:tab w:leader="none" w:pos="851" w:val="left"/>
        </w:tabs>
        <w:ind w:right="708"/>
        <w:jc w:val="center"/>
        <w:rPr>
          <w:sz w:val="28"/>
        </w:rPr>
      </w:pPr>
      <w:r>
        <w:rPr>
          <w:sz w:val="28"/>
        </w:rPr>
        <w:t>Порядок работы по увековечению памяти защитников Отечества при рассмотрении ходатайств</w:t>
      </w:r>
    </w:p>
    <w:p w14:paraId="3E000000">
      <w:pPr>
        <w:pStyle w:val="Style_3"/>
        <w:tabs>
          <w:tab w:leader="none" w:pos="0" w:val="left"/>
        </w:tabs>
        <w:ind w:firstLine="0" w:left="851"/>
        <w:jc w:val="center"/>
        <w:rPr>
          <w:sz w:val="28"/>
        </w:rPr>
      </w:pPr>
    </w:p>
    <w:p w14:paraId="3F000000">
      <w:pPr>
        <w:pStyle w:val="Style_3"/>
        <w:numPr>
          <w:ilvl w:val="0"/>
          <w:numId w:val="5"/>
        </w:numPr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Для рассмотрения вопросов увековечения памяти защитников Отечества при администрации Туапсинского муниципального округа создается комиссия по увековечению памяти на территории Туапсинского муниципального округа погибших при защите Отечества, выдающихся личностей и знаменательных событий при главе Туапсинского муниципального округа (далее – комиссия), а при ее отсутствии порядок работы по увековечению памяти защитников Отечества определяет глава Туапсинского муниципального округа. </w:t>
      </w:r>
    </w:p>
    <w:p w14:paraId="40000000">
      <w:pPr>
        <w:pStyle w:val="Style_3"/>
        <w:numPr>
          <w:ilvl w:val="0"/>
          <w:numId w:val="5"/>
        </w:numPr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Количественный и персональный состав комиссии утверждается главой Туапсинского муниципального округа, при этом его численность должна составлять не менее 3 (трех) человек.</w:t>
      </w:r>
    </w:p>
    <w:p w14:paraId="41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</w:p>
    <w:p w14:paraId="42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</w:p>
    <w:p w14:paraId="43000000">
      <w:pPr>
        <w:pStyle w:val="Style_3"/>
        <w:numPr>
          <w:ilvl w:val="0"/>
          <w:numId w:val="5"/>
        </w:numPr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состав комиссии могут входить депутаты представительного органа муниципального образования Туапсинский муниципальный округ</w:t>
      </w:r>
      <w:r>
        <w:rPr>
          <w:sz w:val="28"/>
        </w:rPr>
        <w:t xml:space="preserve">, </w:t>
      </w:r>
      <w:r>
        <w:rPr>
          <w:sz w:val="28"/>
        </w:rPr>
        <w:t>представители населенных пунктов</w:t>
      </w:r>
      <w:r>
        <w:rPr>
          <w:sz w:val="28"/>
        </w:rPr>
        <w:t>,</w:t>
      </w:r>
      <w:r>
        <w:rPr>
          <w:sz w:val="28"/>
        </w:rPr>
        <w:t xml:space="preserve"> исторических, культурно-просветительских, общественных организаций и других организаций, входящих в состав Туапсинского муниципального округа. Комиссию возглавляет глава Туапсинского муниципального округа.</w:t>
      </w:r>
    </w:p>
    <w:p w14:paraId="44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На заседание комиссии могут приглашаться представители и специалисты из других ведомств и организаций. Заседания комиссии проводятся по мере необходимости, но не реже двух раз год.</w:t>
      </w:r>
    </w:p>
    <w:p w14:paraId="45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>
        <w:rPr>
          <w:sz w:val="28"/>
        </w:rPr>
        <w:t>Комиссия рассматривает вопросы по увековечению памяти на территории Туапсинского муниципального округа</w:t>
      </w:r>
      <w:r>
        <w:t xml:space="preserve"> </w:t>
      </w:r>
      <w:r>
        <w:rPr>
          <w:sz w:val="28"/>
        </w:rPr>
        <w:t>защитников Отечества, а также предложения (ходатайства), поступающие от инициатора.</w:t>
      </w:r>
    </w:p>
    <w:p w14:paraId="46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r>
        <w:rPr>
          <w:sz w:val="28"/>
        </w:rPr>
        <w:t>Инициаторы вместе с ходатайством</w:t>
      </w:r>
      <w:r>
        <w:t xml:space="preserve"> </w:t>
      </w:r>
      <w:r>
        <w:rPr>
          <w:sz w:val="28"/>
        </w:rPr>
        <w:t>об увековечении памяти защитника Отечества предоставляют в администрацию Туапсинского муниципального округа необходимый перечень документов:</w:t>
      </w:r>
    </w:p>
    <w:p w14:paraId="47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ab/>
      </w:r>
      <w:r>
        <w:rPr>
          <w:sz w:val="28"/>
        </w:rPr>
        <w:t>пояснительная записка, содержащая:</w:t>
      </w:r>
    </w:p>
    <w:p w14:paraId="48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краткие сведения об учреждении; </w:t>
      </w:r>
    </w:p>
    <w:p w14:paraId="49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краткие сведения о лице, чье имя предлагается присвоить учреждению, его заслуги перед Отечеством, перечень государственных наград (при наличии); сведения, существуют ли на территории Туапсинского муниципального округа организации, носящие то же имя;</w:t>
      </w:r>
    </w:p>
    <w:p w14:paraId="4A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2)</w:t>
      </w:r>
      <w:r>
        <w:rPr>
          <w:sz w:val="28"/>
        </w:rPr>
        <w:tab/>
      </w:r>
      <w:r>
        <w:rPr>
          <w:sz w:val="28"/>
        </w:rPr>
        <w:t>выписка из протокола собрания трудового коллектива или решения коллегиального органа управления учреждения (при переименовании учреждения);</w:t>
      </w:r>
    </w:p>
    <w:p w14:paraId="4B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3)</w:t>
      </w:r>
      <w:r>
        <w:rPr>
          <w:sz w:val="28"/>
        </w:rPr>
        <w:tab/>
      </w:r>
      <w:r>
        <w:rPr>
          <w:sz w:val="28"/>
        </w:rPr>
        <w:t>историческая или историко-биографическая справка с указанием его фамилии, имени и отчества (при наличии), даты и места рождения, иных биографических данных, при необходимости – копии архивных документов, подтверждающих достоверность событий или заслуги увековечиваемого лица;</w:t>
      </w:r>
    </w:p>
    <w:p w14:paraId="4C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4)</w:t>
      </w:r>
      <w:r>
        <w:rPr>
          <w:sz w:val="28"/>
        </w:rPr>
        <w:tab/>
      </w:r>
      <w:r>
        <w:rPr>
          <w:sz w:val="28"/>
        </w:rPr>
        <w:t>копии устава и свидетельства о государственной регистрации учреждения либо выписка из Единого государственного реестра юридических лиц (при переименовании учреждения);</w:t>
      </w:r>
    </w:p>
    <w:p w14:paraId="4D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5)</w:t>
      </w:r>
      <w:r>
        <w:rPr>
          <w:sz w:val="28"/>
        </w:rPr>
        <w:tab/>
      </w:r>
      <w:r>
        <w:rPr>
          <w:sz w:val="28"/>
        </w:rPr>
        <w:t>письменное согласие лица, о присвоении имени которого направляется ходатайство, а в случае, если имя присваивается посмертно, письменное согласие родителей, совершеннолетних детей, супруга (супруги) такого лица, если таковые имеются, на использование имени в наименовании учреждения;</w:t>
      </w:r>
    </w:p>
    <w:p w14:paraId="4E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6)</w:t>
      </w:r>
      <w:r>
        <w:rPr>
          <w:sz w:val="28"/>
        </w:rPr>
        <w:tab/>
      </w:r>
      <w:r>
        <w:rPr>
          <w:sz w:val="28"/>
        </w:rPr>
        <w:t xml:space="preserve">ходатайство, согласованное с территориальным органом Министерства обороны Российской Федерации (военным комиссариатом), территориальным органом федерального органа исполнительной власти, федерального государственного органа, в которых федеральным законодательством предусмотрена военная служба, органов внутренних дел </w:t>
      </w:r>
      <w:r>
        <w:rPr>
          <w:sz w:val="28"/>
        </w:rPr>
        <w:t>Российской Федерации, Федеральной службы войск национальной гвардии Российской Федерации;</w:t>
      </w:r>
    </w:p>
    <w:p w14:paraId="4F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</w:p>
    <w:p w14:paraId="50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7)</w:t>
      </w:r>
      <w:r>
        <w:rPr>
          <w:sz w:val="28"/>
        </w:rPr>
        <w:tab/>
      </w:r>
      <w:r>
        <w:rPr>
          <w:sz w:val="28"/>
        </w:rPr>
        <w:t>предложения по тексту надписи на памятном знаке, его форме, размерам, месту установки;</w:t>
      </w:r>
    </w:p>
    <w:p w14:paraId="51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color w:val="000000"/>
          <w:sz w:val="28"/>
        </w:rPr>
        <w:t>8)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>сведения об источнике финансирования работ по проектированию, изготовлению, установке и обеспечению торжественного открытия мемориальной доски или памятного знака (смета расходов);</w:t>
      </w:r>
    </w:p>
    <w:p w14:paraId="52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9)</w:t>
      </w:r>
      <w:r>
        <w:rPr>
          <w:sz w:val="28"/>
        </w:rPr>
        <w:tab/>
      </w:r>
      <w:r>
        <w:rPr>
          <w:sz w:val="28"/>
        </w:rPr>
        <w:t xml:space="preserve">документы, подтверждающие период проживания, учебы, работы в здании лица, жизнь и деятельность которого подлежит увековечению, в случае установки </w:t>
      </w:r>
      <w:r>
        <w:rPr>
          <w:color w:val="000000"/>
          <w:sz w:val="28"/>
        </w:rPr>
        <w:t xml:space="preserve">мемориальной доски </w:t>
      </w:r>
      <w:r>
        <w:rPr>
          <w:sz w:val="28"/>
        </w:rPr>
        <w:t>на фасаде здания;</w:t>
      </w:r>
    </w:p>
    <w:p w14:paraId="53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10)</w:t>
      </w:r>
      <w:r>
        <w:rPr>
          <w:sz w:val="28"/>
        </w:rPr>
        <w:tab/>
      </w:r>
      <w:r>
        <w:rPr>
          <w:sz w:val="28"/>
        </w:rPr>
        <w:t>обоснования выбора места установки памятного знака с предоставлением фотографии предполагаемого места;</w:t>
      </w:r>
    </w:p>
    <w:p w14:paraId="54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11)</w:t>
      </w:r>
      <w:r>
        <w:rPr>
          <w:sz w:val="28"/>
        </w:rPr>
        <w:tab/>
      </w:r>
      <w:r>
        <w:rPr>
          <w:sz w:val="28"/>
        </w:rPr>
        <w:t>согласование с органом охраны культурного наследия в соответствии с категорией охраны памятника (в случае установки памятного знака на объекте культурного наследия (памятнике истории и культуры) или в зоне охраны объектов культурного наследия);</w:t>
      </w:r>
    </w:p>
    <w:p w14:paraId="55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12)</w:t>
      </w:r>
      <w:r>
        <w:rPr>
          <w:sz w:val="28"/>
        </w:rPr>
        <w:tab/>
      </w:r>
      <w:r>
        <w:rPr>
          <w:sz w:val="28"/>
        </w:rPr>
        <w:t>при установке памятного знака на здании, помещении или территории, находящихся в частной собственности, необходимо письменное согласи</w:t>
      </w:r>
      <w:bookmarkStart w:id="5" w:name="_Hlk213344195"/>
      <w:r>
        <w:rPr>
          <w:sz w:val="28"/>
        </w:rPr>
        <w:t>е собственник</w:t>
      </w:r>
      <w:bookmarkEnd w:id="5"/>
      <w:r>
        <w:rPr>
          <w:sz w:val="28"/>
        </w:rPr>
        <w:t>а (собственников), в случае если с ходатайством выступает собственник (собственники) здания, помещения или территории, то письменное согласие не требуется.</w:t>
      </w:r>
    </w:p>
    <w:p w14:paraId="56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</w:r>
      <w:r>
        <w:rPr>
          <w:sz w:val="28"/>
        </w:rPr>
        <w:t>Глава Туапсинского муниципального округа определяет ответственных должностных лиц за реализацию ходатайства (далее – ответственные должностные лица).</w:t>
      </w:r>
    </w:p>
    <w:p w14:paraId="57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bookmarkStart w:id="6" w:name="_Hlk215661370"/>
      <w:r>
        <w:rPr>
          <w:sz w:val="28"/>
        </w:rPr>
        <w:t xml:space="preserve">Ответственные должностные лица или комиссия </w:t>
      </w:r>
      <w:bookmarkEnd w:id="6"/>
      <w:r>
        <w:rPr>
          <w:sz w:val="28"/>
        </w:rPr>
        <w:t>вправе принять одно из следующих решений:</w:t>
      </w:r>
    </w:p>
    <w:p w14:paraId="58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поддержать ходатайство и определить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14:paraId="59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перенести рассмотрение ходатайств на срок, определяемый</w:t>
      </w:r>
      <w:r>
        <w:t xml:space="preserve"> </w:t>
      </w:r>
      <w:bookmarkStart w:id="7" w:name="_Hlk215662072"/>
      <w:r>
        <w:rPr>
          <w:sz w:val="28"/>
        </w:rPr>
        <w:t xml:space="preserve">ответственными должностными лицами </w:t>
      </w:r>
      <w:bookmarkEnd w:id="7"/>
      <w:r>
        <w:rPr>
          <w:sz w:val="28"/>
        </w:rPr>
        <w:t>или комиссией, в связи с необходимостью получения дополнительных сведений и документов или по другим причинам;</w:t>
      </w:r>
    </w:p>
    <w:p w14:paraId="5A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отказать </w:t>
      </w:r>
      <w:bookmarkStart w:id="8" w:name="_Hlk213350064"/>
      <w:r>
        <w:rPr>
          <w:sz w:val="28"/>
        </w:rPr>
        <w:t xml:space="preserve">в согласовании ходатайства </w:t>
      </w:r>
      <w:bookmarkEnd w:id="8"/>
      <w:r>
        <w:rPr>
          <w:sz w:val="28"/>
        </w:rPr>
        <w:t>по рассматриваемому вопросу с указанием мотивированных причин отказа, а также предложить увековечить память в иной из существующих форм.</w:t>
      </w:r>
    </w:p>
    <w:p w14:paraId="5B000000">
      <w:pPr>
        <w:tabs>
          <w:tab w:leader="none" w:pos="0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Решения о согласовании либо отказе согласования ходатайства об увековечении памяти на территории Туапсинского муниципального округа погибших при защите Отечества в любой из форм увековечения принимается простым большинством голосов ответственных должностных лиц или членов комиссии и оформляется протоколом, который утверждается главой Туапсинского муниципального округа в течение 5 (пяти) рабочих дней с даты </w:t>
      </w:r>
      <w:r>
        <w:rPr>
          <w:rFonts w:ascii="Times New Roman" w:hAnsi="Times New Roman"/>
          <w:sz w:val="28"/>
        </w:rPr>
        <w:t xml:space="preserve">вынесения решения. Решения считаются принятыми и принимаются к исполнению только после утверждения протокола. </w:t>
      </w:r>
    </w:p>
    <w:p w14:paraId="5C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Отказ в присвоении учреждению имени допускается в случаях выяснения недостоверности и (или) необоснованности представленных документов, несоблюдения требований, установленных Положением.</w:t>
      </w:r>
    </w:p>
    <w:p w14:paraId="5D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В случае если принимается решение отказать в согласовании ходатайства об увековечении на территории Туапсинского муниципального округа памяти погибшему при защите Отечества, в адрес инициатора направляется уведомление с указанием причин отказа в течение 14 (четырнадцати) дней со дня вынесения такого решения.</w:t>
      </w:r>
    </w:p>
    <w:p w14:paraId="5E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При отказе в согласовании ходатайства повторное ходатайство инициатором допускается только в случае устранения обстоятельств, послуживших основанием для отказа.</w:t>
      </w:r>
    </w:p>
    <w:p w14:paraId="5F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Инициатор, в случае несогласия с решением в согласовании ходатайства, может обжаловать данное решение в установленном законом порядке.</w:t>
      </w:r>
    </w:p>
    <w:p w14:paraId="60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При условии принятия решения о согласовании ходатайства в течение 14 дней готовится проект решения Совета муниципального образования Туапсинский муниципальный округ Краснодарского края и представляется главе Туапсинского муниципального округа с приложением протокола и мотивированного заключения. </w:t>
      </w:r>
    </w:p>
    <w:p w14:paraId="61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заключении указывается форма увековечения, инициатор (инициаторы), адрес здания (строения, сооружения), территория, финансово-экономическое обоснование работ и за счет каких средств (из бюджета муниципального образования Туапсинский муниципальный округ Краснодарского края, либо за счет </w:t>
      </w:r>
      <w:bookmarkStart w:id="9" w:name="_Hlk213348317"/>
      <w:r>
        <w:rPr>
          <w:sz w:val="28"/>
        </w:rPr>
        <w:t xml:space="preserve">добровольных пожертвований </w:t>
      </w:r>
      <w:bookmarkEnd w:id="9"/>
      <w:r>
        <w:rPr>
          <w:sz w:val="28"/>
        </w:rPr>
        <w:t>общественных объединений, юридических лиц, граждан, за счет средств инициатора в части либо полностью).</w:t>
      </w:r>
    </w:p>
    <w:p w14:paraId="62000000">
      <w:pPr>
        <w:pStyle w:val="Style_2"/>
        <w:numPr>
          <w:ilvl w:val="0"/>
          <w:numId w:val="2"/>
        </w:numPr>
        <w:tabs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Увековечения памяти на территории Туапсинского муниципального округа погибших при защите Отечества осуществляется за счет средств инициатора, добровольных пожертвований, в исключительных случаях (по предложению администрации Туапсинского муниципального округа или Совета </w:t>
      </w:r>
      <w:r>
        <w:rPr>
          <w:color w:val="000000"/>
          <w:sz w:val="28"/>
        </w:rPr>
        <w:t>муниципального образования Туапсинский муниципальный округ Краснодарского края) за счет средств бюджета Туапсинского муниципального округа при наличии денежных средств на эти цели</w:t>
      </w:r>
      <w:r>
        <w:rPr>
          <w:color w:val="000000"/>
          <w:sz w:val="28"/>
        </w:rPr>
        <w:t>.</w:t>
      </w:r>
    </w:p>
    <w:p w14:paraId="63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Заключение о целесообразности увековечения памяти на территории Туапсинского муниципального округа погибших при защите Отечества за счет бюджета Туапсинского муниципального округа принимается Советом муниципального образования Туапсинский муниципальный округ Краснодарского края с учетом </w:t>
      </w:r>
      <w:bookmarkStart w:id="10" w:name="_Hlk213349366"/>
      <w:r>
        <w:rPr>
          <w:color w:val="000000"/>
          <w:sz w:val="28"/>
        </w:rPr>
        <w:t>финансово-экономического обоснования</w:t>
      </w:r>
      <w:bookmarkEnd w:id="10"/>
      <w:r>
        <w:rPr>
          <w:color w:val="000000"/>
          <w:sz w:val="28"/>
        </w:rPr>
        <w:t>, подписанного главой Туапсинского муниципального округа и начальником финансового управления администрации Туапсинского муниципального округа.</w:t>
      </w:r>
    </w:p>
    <w:p w14:paraId="64000000">
      <w:pPr>
        <w:pStyle w:val="Style_3"/>
        <w:numPr>
          <w:ilvl w:val="0"/>
          <w:numId w:val="2"/>
        </w:numPr>
        <w:tabs>
          <w:tab w:leader="none" w:pos="0" w:val="left"/>
          <w:tab w:leader="none" w:pos="1134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Глава Туапсинского муниципального округа вносит в Совет </w:t>
      </w:r>
      <w:r>
        <w:rPr>
          <w:sz w:val="28"/>
        </w:rPr>
        <w:t xml:space="preserve">муниципального образования Туапсинский муниципальный округ Краснодарского края </w:t>
      </w:r>
      <w:r>
        <w:rPr>
          <w:color w:val="000000"/>
          <w:sz w:val="28"/>
        </w:rPr>
        <w:t>проект решения Совета муниципального образования Туапсинский муниципальный округ Краснодарского края об увековечении памяти погибших при защите Отечества с приложением, мотивированного заключения, финансово-экономического обоснования и по необходимости документов, представленных инициатором.</w:t>
      </w:r>
    </w:p>
    <w:p w14:paraId="65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Материалы, представленные главой Туапсинского муниципального округа в Совет </w:t>
      </w:r>
      <w:r>
        <w:rPr>
          <w:sz w:val="28"/>
        </w:rPr>
        <w:t>муниципального образования Туапсинский муниципальный округ Краснодарского края</w:t>
      </w:r>
      <w:r>
        <w:rPr>
          <w:color w:val="000000"/>
          <w:sz w:val="28"/>
        </w:rPr>
        <w:t xml:space="preserve">, подлежат предварительному рассмотрению на заседании постоянной комиссии Совета </w:t>
      </w:r>
      <w:r>
        <w:rPr>
          <w:sz w:val="28"/>
        </w:rPr>
        <w:t>муниципального образования Туапсинский муниципальный округ Краснодарского края.</w:t>
      </w:r>
    </w:p>
    <w:p w14:paraId="66000000">
      <w:pPr>
        <w:pStyle w:val="Style_2"/>
        <w:tabs>
          <w:tab w:leader="none" w:pos="0" w:val="left"/>
          <w:tab w:leader="none" w:pos="977" w:val="left"/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Решение об увековечении памяти на территории Туапсинского муниципального округа погибших при защите Отечества либо об отклонении проекта решения Совета муниципального образования Туапсинский муниципальный округ Краснодарского края принимается на заседании </w:t>
      </w:r>
      <w:r>
        <w:rPr>
          <w:color w:val="000000"/>
          <w:sz w:val="28"/>
        </w:rPr>
        <w:t xml:space="preserve">Совета </w:t>
      </w:r>
      <w:r>
        <w:rPr>
          <w:color w:val="000000"/>
          <w:sz w:val="28"/>
        </w:rPr>
        <w:t xml:space="preserve">муниципального образования Туапсинский муниципальный округ Краснодарского края </w:t>
      </w:r>
      <w:r>
        <w:rPr>
          <w:color w:val="000000"/>
          <w:sz w:val="28"/>
        </w:rPr>
        <w:t>простым большинством голосов от установленного количества Совета муниципального образования Туапсинский муниципальный округ Краснодарского края и подлежит официальному опубликованию.</w:t>
      </w:r>
    </w:p>
    <w:p w14:paraId="67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В решении должна содержаться ссылка на инициатора ходатайства, форма увековечения, адрес здания (строения, сооружения), территории, источник финансирования.</w:t>
      </w:r>
    </w:p>
    <w:p w14:paraId="68000000">
      <w:pPr>
        <w:pStyle w:val="Style_2"/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Уведомление о принятом решении Совета </w:t>
      </w:r>
      <w:r>
        <w:rPr>
          <w:color w:val="000000"/>
          <w:sz w:val="28"/>
        </w:rPr>
        <w:t xml:space="preserve">муниципального образования Туапсинский муниципальный округ Краснодарского края </w:t>
      </w:r>
      <w:r>
        <w:rPr>
          <w:color w:val="000000"/>
          <w:sz w:val="28"/>
        </w:rPr>
        <w:t>направляется</w:t>
      </w:r>
      <w:r>
        <w:t xml:space="preserve"> </w:t>
      </w:r>
      <w:r>
        <w:rPr>
          <w:color w:val="000000"/>
          <w:sz w:val="28"/>
        </w:rPr>
        <w:t>инициатору в течение 10 (десяти) рабочих дней со дня принятия такого решения.</w:t>
      </w:r>
    </w:p>
    <w:p w14:paraId="69000000">
      <w:pPr>
        <w:pStyle w:val="Style_2"/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Положительное решение Совета муниципального образования Туапсинский муниципальный округ Краснодарского края выносится на заседание общественного </w:t>
      </w:r>
      <w:r>
        <w:rPr>
          <w:color w:val="000000"/>
          <w:sz w:val="28"/>
        </w:rPr>
        <w:t>градостроительного совета при главе муниципального образования Туапсинский муниципальный округ Краснодарского края, утвержденного нормативным правовым актом администрации Туапсинского муниципального округа, для определения вида мемориального сооружения, места его расположения, наименования градообразующих объектов.</w:t>
      </w:r>
      <w:r>
        <w:rPr>
          <w:color w:val="000000"/>
          <w:sz w:val="28"/>
        </w:rPr>
        <w:t xml:space="preserve"> </w:t>
      </w:r>
    </w:p>
    <w:p w14:paraId="6A000000">
      <w:pPr>
        <w:pStyle w:val="Style_2"/>
        <w:numPr>
          <w:ilvl w:val="0"/>
          <w:numId w:val="2"/>
        </w:numPr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Ответственные должностные лица, назначенные главой Туапсинского муниципального округа, за выполнение принятых решений:</w:t>
      </w:r>
    </w:p>
    <w:p w14:paraId="6B000000">
      <w:pPr>
        <w:pStyle w:val="Style_2"/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организует работу по их реализации; </w:t>
      </w:r>
    </w:p>
    <w:p w14:paraId="6C000000">
      <w:pPr>
        <w:pStyle w:val="Style_2"/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контролирует проведение работ;</w:t>
      </w:r>
    </w:p>
    <w:p w14:paraId="6D000000">
      <w:pPr>
        <w:pStyle w:val="Style_2"/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устанавливает взаимодействие с заинтересованными организациями и гражданами;</w:t>
      </w:r>
    </w:p>
    <w:p w14:paraId="6E000000">
      <w:pPr>
        <w:pStyle w:val="Style_2"/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при необходимости по согласованию с главой </w:t>
      </w:r>
      <w:bookmarkStart w:id="11" w:name="_Hlk215667816"/>
      <w:r>
        <w:rPr>
          <w:color w:val="000000"/>
          <w:sz w:val="28"/>
        </w:rPr>
        <w:t>Туапсинского муниципального округа</w:t>
      </w:r>
      <w:bookmarkEnd w:id="11"/>
      <w:r>
        <w:rPr>
          <w:color w:val="000000"/>
          <w:sz w:val="28"/>
        </w:rPr>
        <w:t xml:space="preserve"> уточняют порядок выполнения мероприятий;</w:t>
      </w:r>
    </w:p>
    <w:p w14:paraId="6F000000">
      <w:pPr>
        <w:pStyle w:val="Style_2"/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координируют вопросы изготовления в долговечных материалах и установки мемориальных сооружений;</w:t>
      </w:r>
    </w:p>
    <w:p w14:paraId="70000000">
      <w:pPr>
        <w:pStyle w:val="Style_2"/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совместно с главой Туапсинского муниципального округа 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14:paraId="71000000">
      <w:pPr>
        <w:pStyle w:val="Style_3"/>
        <w:tabs>
          <w:tab w:leader="none" w:pos="0" w:val="left"/>
        </w:tabs>
        <w:ind w:firstLine="709" w:left="0"/>
        <w:jc w:val="both"/>
        <w:rPr>
          <w:sz w:val="28"/>
        </w:rPr>
      </w:pPr>
    </w:p>
    <w:p w14:paraId="72000000">
      <w:pPr>
        <w:pStyle w:val="Style_3"/>
        <w:numPr>
          <w:ilvl w:val="0"/>
          <w:numId w:val="4"/>
        </w:numPr>
        <w:tabs>
          <w:tab w:leader="none" w:pos="0" w:val="left"/>
          <w:tab w:leader="none" w:pos="426" w:val="left"/>
        </w:tabs>
        <w:ind w:firstLine="0" w:left="0"/>
        <w:jc w:val="center"/>
        <w:rPr>
          <w:sz w:val="28"/>
        </w:rPr>
      </w:pPr>
      <w:r>
        <w:rPr>
          <w:sz w:val="28"/>
        </w:rPr>
        <w:t>Требования, предъявляемые к мемориальным сооружениям</w:t>
      </w:r>
    </w:p>
    <w:p w14:paraId="73000000">
      <w:pPr>
        <w:pStyle w:val="Style_3"/>
        <w:tabs>
          <w:tab w:leader="none" w:pos="0" w:val="left"/>
        </w:tabs>
        <w:ind w:firstLine="0" w:left="0"/>
        <w:jc w:val="both"/>
        <w:rPr>
          <w:sz w:val="28"/>
        </w:rPr>
      </w:pPr>
    </w:p>
    <w:p w14:paraId="74000000">
      <w:pPr>
        <w:pStyle w:val="Style_3"/>
        <w:numPr>
          <w:ilvl w:val="0"/>
          <w:numId w:val="6"/>
        </w:numPr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bookmarkStart w:id="12" w:name="_Hlk214556526"/>
      <w:r>
        <w:rPr>
          <w:sz w:val="28"/>
        </w:rPr>
        <w:t xml:space="preserve">Архитектурно–художественное решение мемориальных сооружений не должно </w:t>
      </w:r>
      <w:r>
        <w:rPr>
          <w:sz w:val="28"/>
        </w:rPr>
        <w:t>противоречить характеру места</w:t>
      </w:r>
      <w:r>
        <w:rPr>
          <w:sz w:val="28"/>
        </w:rPr>
        <w:t xml:space="preserve"> их установки, особенностям среды, в которую они привносятся как новый элемент</w:t>
      </w:r>
      <w:r>
        <w:rPr>
          <w:sz w:val="28"/>
        </w:rPr>
        <w:t xml:space="preserve"> (</w:t>
      </w:r>
      <w:r>
        <w:rPr>
          <w:sz w:val="28"/>
        </w:rPr>
        <w:t>при установки мемориальных сооружений учитываются: панорамн</w:t>
      </w:r>
      <w:r>
        <w:rPr>
          <w:sz w:val="28"/>
        </w:rPr>
        <w:t>ое</w:t>
      </w:r>
      <w:r>
        <w:rPr>
          <w:sz w:val="28"/>
        </w:rPr>
        <w:t xml:space="preserve"> восприяти</w:t>
      </w:r>
      <w:r>
        <w:rPr>
          <w:sz w:val="28"/>
        </w:rPr>
        <w:t>е,</w:t>
      </w:r>
      <w:r>
        <w:rPr>
          <w:sz w:val="28"/>
        </w:rPr>
        <w:t xml:space="preserve"> природны</w:t>
      </w:r>
      <w:r>
        <w:rPr>
          <w:sz w:val="28"/>
        </w:rPr>
        <w:t>е</w:t>
      </w:r>
      <w:r>
        <w:rPr>
          <w:sz w:val="28"/>
        </w:rPr>
        <w:t xml:space="preserve"> особенност</w:t>
      </w:r>
      <w:r>
        <w:rPr>
          <w:sz w:val="28"/>
        </w:rPr>
        <w:t>и</w:t>
      </w:r>
      <w:r>
        <w:rPr>
          <w:sz w:val="28"/>
        </w:rPr>
        <w:t xml:space="preserve"> местности, градостроительной ситуации, окружающей застройки</w:t>
      </w:r>
      <w:r>
        <w:rPr>
          <w:sz w:val="28"/>
        </w:rPr>
        <w:t>,</w:t>
      </w:r>
      <w:r>
        <w:rPr>
          <w:sz w:val="28"/>
        </w:rPr>
        <w:t xml:space="preserve"> размещение исходя из градостроительных возможностей (если сооружение устанавливается на земельном участке)</w:t>
      </w:r>
      <w:r>
        <w:rPr>
          <w:sz w:val="28"/>
        </w:rPr>
        <w:t>.</w:t>
      </w:r>
    </w:p>
    <w:p w14:paraId="75000000">
      <w:pPr>
        <w:pStyle w:val="Style_3"/>
        <w:numPr>
          <w:ilvl w:val="0"/>
          <w:numId w:val="6"/>
        </w:numPr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надписях на надгробии погибших военнослужащих необходимо указывать звание защитника Отечества, государственные награды (при наличии), а также изображать </w:t>
      </w:r>
      <w:bookmarkStart w:id="13" w:name="_Hlk213779057"/>
      <w:r>
        <w:rPr>
          <w:sz w:val="28"/>
        </w:rPr>
        <w:t>государственные награды</w:t>
      </w:r>
      <w:bookmarkEnd w:id="13"/>
      <w:r>
        <w:rPr>
          <w:sz w:val="28"/>
        </w:rPr>
        <w:t>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«Гвардия». Порядок и форма размещения государственных (ведомственных) наград и знака «Гвардия» на надгробиях и памятниках, как правило, определяется актом соответствующего органа.</w:t>
      </w:r>
    </w:p>
    <w:p w14:paraId="76000000">
      <w:pPr>
        <w:pStyle w:val="Style_2"/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color w:val="000000"/>
          <w:sz w:val="28"/>
        </w:rPr>
        <w:t>3.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>Основные требования к установке мемориальных досок и мемориальных сооружений:</w:t>
      </w:r>
    </w:p>
    <w:p w14:paraId="77000000">
      <w:pPr>
        <w:pStyle w:val="Style_2"/>
        <w:numPr>
          <w:ilvl w:val="0"/>
          <w:numId w:val="7"/>
        </w:numPr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sz w:val="28"/>
        </w:rPr>
      </w:pPr>
      <w:bookmarkStart w:id="14" w:name="bookmark55"/>
      <w:bookmarkEnd w:id="14"/>
      <w:r>
        <w:rPr>
          <w:color w:val="000000"/>
          <w:sz w:val="28"/>
        </w:rPr>
        <w:t xml:space="preserve"> Размер мемориальной доски или сооружения определяется объемом помещаемой информации, наличием портретного изображения, декоративных элементов и </w:t>
      </w:r>
      <w:r>
        <w:rPr>
          <w:color w:val="000000"/>
          <w:sz w:val="28"/>
        </w:rPr>
        <w:t xml:space="preserve">должен </w:t>
      </w:r>
      <w:bookmarkStart w:id="15" w:name="__DdeLink__1098_2980828150"/>
      <w:r>
        <w:rPr>
          <w:color w:val="000000"/>
          <w:sz w:val="28"/>
        </w:rPr>
        <w:t>быть соразмерен</w:t>
      </w:r>
      <w:bookmarkEnd w:id="15"/>
      <w:r>
        <w:rPr>
          <w:color w:val="000000"/>
          <w:sz w:val="28"/>
        </w:rPr>
        <w:t xml:space="preserve"> зданию</w:t>
      </w:r>
      <w:r>
        <w:rPr>
          <w:color w:val="000000"/>
          <w:sz w:val="28"/>
        </w:rPr>
        <w:t>, сооружению</w:t>
      </w:r>
      <w:r>
        <w:rPr>
          <w:color w:val="000000"/>
          <w:sz w:val="28"/>
        </w:rPr>
        <w:t xml:space="preserve"> или иному архитектурному объекту, на котором они устанавливаются.</w:t>
      </w:r>
    </w:p>
    <w:p w14:paraId="78000000">
      <w:pPr>
        <w:pStyle w:val="Style_2"/>
        <w:numPr>
          <w:ilvl w:val="0"/>
          <w:numId w:val="7"/>
        </w:numPr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color w:val="000000"/>
          <w:sz w:val="28"/>
        </w:rPr>
      </w:pPr>
      <w:bookmarkStart w:id="16" w:name="bookmark56"/>
      <w:bookmarkEnd w:id="16"/>
      <w:r>
        <w:rPr>
          <w:color w:val="000000"/>
          <w:sz w:val="28"/>
        </w:rPr>
        <w:t xml:space="preserve"> Текст излагается на русском языке, должен в лаконичной форме содержать характеристику увековечиваемого события (факта), либо периода жизни (деятельности) лица, которому посвящена мемориальная доска, с полным указанием его фамилии, имени и отчества. В тексте обязательны даты, конкретизирующие время причастности лица к месту установки мемориальной доски, </w:t>
      </w:r>
      <w:r>
        <w:rPr>
          <w:color w:val="000000"/>
          <w:sz w:val="28"/>
        </w:rPr>
        <w:t>памятного знака, перенос слов не допускается;</w:t>
      </w:r>
    </w:p>
    <w:p w14:paraId="79000000">
      <w:pPr>
        <w:pStyle w:val="Style_2"/>
        <w:numPr>
          <w:ilvl w:val="0"/>
          <w:numId w:val="7"/>
        </w:numPr>
        <w:tabs>
          <w:tab w:leader="none" w:pos="0" w:val="left"/>
          <w:tab w:leader="none" w:pos="1134" w:val="left"/>
        </w:tabs>
        <w:spacing w:line="240" w:lineRule="auto"/>
        <w:ind w:firstLine="709" w:left="0"/>
        <w:jc w:val="both"/>
        <w:rPr>
          <w:sz w:val="28"/>
        </w:rPr>
      </w:pPr>
      <w:bookmarkStart w:id="17" w:name="bookmark57"/>
      <w:bookmarkEnd w:id="17"/>
      <w:r>
        <w:rPr>
          <w:color w:val="000000"/>
          <w:sz w:val="28"/>
        </w:rPr>
        <w:t xml:space="preserve"> В композицию, помимо текста, могут быть включены портретные изображения, декоративные элементы, подсветка, приспособление для возложения цветов</w:t>
      </w:r>
      <w:bookmarkStart w:id="18" w:name="bookmark58"/>
      <w:bookmarkEnd w:id="18"/>
      <w:r>
        <w:rPr>
          <w:color w:val="000000"/>
          <w:sz w:val="28"/>
        </w:rPr>
        <w:t>.</w:t>
      </w:r>
    </w:p>
    <w:p w14:paraId="7A000000">
      <w:pPr>
        <w:pStyle w:val="Style_3"/>
        <w:numPr>
          <w:ilvl w:val="0"/>
          <w:numId w:val="7"/>
        </w:numPr>
        <w:tabs>
          <w:tab w:leader="none" w:pos="0" w:val="left"/>
          <w:tab w:leader="none" w:pos="1134" w:val="left"/>
        </w:tabs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Изготовление мемориальных досок, сооружений и памятных знаков производится из качественных долговечных материалов (мрамор, гранит, чугун, бронза и др.). При установке мемориальных досок на общественных зданиях (в т.ч. образовательных организациях) в качестве основного материала рекомендуется использовать мрамор или гранит белого тона с нанесением надписей золотым цветом.</w:t>
      </w:r>
    </w:p>
    <w:p w14:paraId="7B000000">
      <w:pPr>
        <w:pStyle w:val="Style_3"/>
        <w:tabs>
          <w:tab w:leader="none" w:pos="0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>
        <w:rPr>
          <w:sz w:val="28"/>
        </w:rPr>
        <w:t>Эскизный проект места размещения мемориальных сооружений согласовывается с управлением архитектуры и градостроительства</w:t>
      </w:r>
      <w:r>
        <w:t xml:space="preserve"> </w:t>
      </w:r>
      <w:r>
        <w:rPr>
          <w:sz w:val="28"/>
        </w:rPr>
        <w:t xml:space="preserve">администрации Туапсинского муниципального округа и управлением имущественных отношений администрации </w:t>
      </w:r>
      <w:r>
        <w:rPr>
          <w:color w:val="000000"/>
          <w:sz w:val="28"/>
        </w:rPr>
        <w:t>Туапсинского муниципального округа</w:t>
      </w:r>
      <w:r>
        <w:rPr>
          <w:sz w:val="28"/>
        </w:rPr>
        <w:t>.</w:t>
      </w:r>
      <w:bookmarkEnd w:id="12"/>
    </w:p>
    <w:p w14:paraId="7C000000">
      <w:pPr>
        <w:pStyle w:val="Style_3"/>
        <w:tabs>
          <w:tab w:leader="none" w:pos="1134" w:val="left"/>
        </w:tabs>
        <w:ind w:firstLine="709" w:left="0"/>
        <w:rPr>
          <w:sz w:val="28"/>
        </w:rPr>
      </w:pPr>
    </w:p>
    <w:p w14:paraId="7D000000">
      <w:pPr>
        <w:pStyle w:val="Style_3"/>
        <w:numPr>
          <w:ilvl w:val="0"/>
          <w:numId w:val="4"/>
        </w:numPr>
        <w:tabs>
          <w:tab w:leader="none" w:pos="426" w:val="left"/>
        </w:tabs>
        <w:ind w:firstLine="0" w:left="0"/>
        <w:jc w:val="center"/>
        <w:rPr>
          <w:rStyle w:val="Style_6_ch"/>
          <w:b w:val="0"/>
          <w:sz w:val="28"/>
        </w:rPr>
      </w:pPr>
      <w:r>
        <w:rPr>
          <w:rStyle w:val="Style_6_ch"/>
          <w:b w:val="0"/>
          <w:sz w:val="28"/>
        </w:rPr>
        <w:t>Порядок сохранности и демонтажа мемориальных сооружений</w:t>
      </w:r>
    </w:p>
    <w:p w14:paraId="7E000000">
      <w:pPr>
        <w:tabs>
          <w:tab w:leader="none" w:pos="1134" w:val="left"/>
        </w:tabs>
        <w:spacing w:after="0" w:line="240" w:lineRule="auto"/>
        <w:ind w:firstLine="709" w:left="0"/>
        <w:rPr>
          <w:rStyle w:val="Style_6_ch"/>
          <w:rFonts w:ascii="Times New Roman" w:hAnsi="Times New Roman"/>
          <w:b w:val="0"/>
          <w:sz w:val="28"/>
        </w:rPr>
      </w:pPr>
    </w:p>
    <w:p w14:paraId="7F000000">
      <w:pPr>
        <w:numPr>
          <w:ilvl w:val="1"/>
          <w:numId w:val="8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19" w:name="_Hlk213780434"/>
      <w:r>
        <w:rPr>
          <w:rFonts w:ascii="Times New Roman" w:hAnsi="Times New Roman"/>
          <w:sz w:val="28"/>
        </w:rPr>
        <w:t>Администрация Туапсинского муниципального округа</w:t>
      </w:r>
      <w:bookmarkEnd w:id="19"/>
      <w:r>
        <w:rPr>
          <w:rFonts w:ascii="Times New Roman" w:hAnsi="Times New Roman"/>
          <w:sz w:val="28"/>
        </w:rPr>
        <w:t xml:space="preserve"> либо структурные подразделения администрация Туапсинского муниципального округа, подведомственные им учреждения, на балансе которых находятся мемориальные сооружения, а также организации, обеспечивающие контроль за сохранностью жилого фонда в порядке, установленном законодательством Российской Федерации,</w:t>
      </w:r>
      <w:r>
        <w:t xml:space="preserve"> </w:t>
      </w:r>
      <w:r>
        <w:rPr>
          <w:rFonts w:ascii="Times New Roman" w:hAnsi="Times New Roman"/>
          <w:sz w:val="28"/>
        </w:rPr>
        <w:t>обеспечивают сохранность и содержание в надлежащем состоянии</w:t>
      </w:r>
      <w:r>
        <w:t xml:space="preserve"> </w:t>
      </w:r>
      <w:r>
        <w:rPr>
          <w:rFonts w:ascii="Times New Roman" w:hAnsi="Times New Roman"/>
          <w:sz w:val="28"/>
        </w:rPr>
        <w:t>мемориальных сооружений.</w:t>
      </w:r>
    </w:p>
    <w:p w14:paraId="80000000">
      <w:pPr>
        <w:pStyle w:val="Style_3"/>
        <w:numPr>
          <w:ilvl w:val="1"/>
          <w:numId w:val="8"/>
        </w:numPr>
        <w:tabs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Проведение инвентаризации мемориальных сооружений проводиться не реже одного раза в 3 (три) года. При этом ведется единый реестр мемориальных сооружений.</w:t>
      </w:r>
    </w:p>
    <w:p w14:paraId="81000000">
      <w:pPr>
        <w:numPr>
          <w:ilvl w:val="1"/>
          <w:numId w:val="8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Демонтаж мемориальных сооружений на территории </w:t>
      </w:r>
      <w:r>
        <w:rPr>
          <w:rFonts w:ascii="Times New Roman" w:hAnsi="Times New Roman"/>
          <w:color w:val="000000"/>
          <w:sz w:val="28"/>
        </w:rPr>
        <w:t>Туапсинского муниципального округа</w:t>
      </w:r>
      <w:r>
        <w:rPr>
          <w:rFonts w:ascii="Times New Roman" w:hAnsi="Times New Roman"/>
          <w:sz w:val="28"/>
        </w:rPr>
        <w:t xml:space="preserve"> не допускаются, за исключением следующих случаев:</w:t>
      </w:r>
    </w:p>
    <w:p w14:paraId="8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при полном разрушении мемориального сооружения;</w:t>
      </w:r>
    </w:p>
    <w:p w14:paraId="8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период работ по ремонту мемориального сооружения, реставрации здания, на фасаде или вблизи которого расположено мемориальное сооружение;</w:t>
      </w:r>
    </w:p>
    <w:p w14:paraId="84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при разрушении, сносе здания, сооружения или иного архитектурного объекта, на котором установлено мемориального сооружения;</w:t>
      </w:r>
    </w:p>
    <w:p w14:paraId="85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разрешительных документов на установку мемориального сооружения.</w:t>
      </w:r>
    </w:p>
    <w:p w14:paraId="86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 случае необходимости проведения работ по ремонту и реставрации мемориального сооружения </w:t>
      </w:r>
      <w:bookmarkStart w:id="20" w:name="_Hlk215670467"/>
      <w:r>
        <w:rPr>
          <w:rFonts w:ascii="Times New Roman" w:hAnsi="Times New Roman"/>
          <w:sz w:val="28"/>
        </w:rPr>
        <w:t>либо здания или помещения, на фасаде которого установлено</w:t>
      </w:r>
      <w:bookmarkEnd w:id="20"/>
      <w:r>
        <w:rPr>
          <w:rFonts w:ascii="Times New Roman" w:hAnsi="Times New Roman"/>
          <w:sz w:val="28"/>
        </w:rPr>
        <w:t xml:space="preserve"> мемориальное сооружение, демонтаж осуществляется с обязательным предварительным уведомлением о целях, дате и периоде проводимых работ направленным в администрацию Туапсинского муниципального округа.</w:t>
      </w:r>
    </w:p>
    <w:p w14:paraId="87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время демонтажа составляется акт о демонтаже мемориального сооружения с подписями лиц, производящих демонтаж, и лиц, принимающих </w:t>
      </w:r>
      <w:r>
        <w:rPr>
          <w:rFonts w:ascii="Times New Roman" w:hAnsi="Times New Roman"/>
          <w:sz w:val="28"/>
        </w:rPr>
        <w:t>мемориальное сооружение для хранения или производства работ, копия направляется в администрацию Туапсинского муниципального округа.</w:t>
      </w:r>
    </w:p>
    <w:p w14:paraId="88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завершении ремонтно-реставрационных работ мемориального сооружения, либо здания или помещения, на фасаде которого оно было ранее установлено, мемориальное сооружение устанавливается на прежнем месте с составлением аналогичного акта о монтаже, копия которого направляется в администрацию Туапсинского муниципального округа.</w:t>
      </w:r>
    </w:p>
    <w:p w14:paraId="89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случае сноса здания, на котором установлено мемориальное сооружение, осуществляется его демонтаж с составлением акта о демонтаже, акт составляется с подписями лиц, принимающих мемориальное сооружение для хранения и осуществляющих его демонтаж. Копия акта направляется администрацию Туапсинского муниципального округа.</w:t>
      </w:r>
    </w:p>
    <w:p w14:paraId="8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Мемориальное сооружение находится на хранении в территориальном отделе территориального управления администрации Туапсинского муниципального округа, на территории которого произведен демонтаж, до определения возможного места его установки.</w:t>
      </w:r>
    </w:p>
    <w:p w14:paraId="8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8C000000">
      <w:pPr>
        <w:tabs>
          <w:tab w:leader="none" w:pos="1134" w:val="left"/>
        </w:tabs>
        <w:spacing w:after="0" w:line="240" w:lineRule="auto"/>
        <w:ind w:firstLine="709" w:left="0"/>
        <w:rPr>
          <w:rFonts w:ascii="Times New Roman" w:hAnsi="Times New Roman"/>
          <w:sz w:val="28"/>
        </w:rPr>
      </w:pPr>
      <w:bookmarkStart w:id="21" w:name="bookmark44"/>
      <w:bookmarkEnd w:id="21"/>
    </w:p>
    <w:p w14:paraId="8D000000">
      <w:pPr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управление культуры</w:t>
      </w:r>
    </w:p>
    <w:p w14:paraId="8E000000">
      <w:pPr>
        <w:tabs>
          <w:tab w:leader="none" w:pos="1134" w:val="left"/>
        </w:tabs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Туапсинского </w:t>
      </w:r>
    </w:p>
    <w:p w14:paraId="8F000000">
      <w:pPr>
        <w:tabs>
          <w:tab w:leader="none" w:pos="1134" w:val="left"/>
        </w:tabs>
        <w:spacing w:after="0" w:line="240" w:lineRule="auto"/>
        <w:ind/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Ю.А. Данилова</w:t>
      </w:r>
    </w:p>
    <w:sectPr>
      <w:headerReference r:id="rId1" w:type="default"/>
      <w:pgSz w:h="16838" w:orient="portrait" w:w="11906"/>
      <w:pgMar w:bottom="1106" w:footer="0" w:gutter="0" w:header="426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054"/>
      </w:pPr>
      <w:rPr>
        <w:rFonts w:ascii="Times New Roman" w:hAnsi="Times New Roman"/>
        <w:b w:val="0"/>
        <w:sz w:val="28"/>
      </w:rPr>
    </w:lvl>
    <w:lvl w:ilvl="1">
      <w:start w:val="2"/>
      <w:numFmt w:val="decimal"/>
      <w:lvlText w:val="%1.%2."/>
      <w:lvlJc w:val="left"/>
      <w:pPr>
        <w:ind w:hanging="720" w:left="1440"/>
      </w:pPr>
    </w:lvl>
    <w:lvl w:ilvl="2">
      <w:start w:val="1"/>
      <w:numFmt w:val="decimal"/>
      <w:lvlText w:val="%1.%2.%3."/>
      <w:lvlJc w:val="left"/>
      <w:pPr>
        <w:ind w:hanging="720" w:left="1800"/>
      </w:pPr>
    </w:lvl>
    <w:lvl w:ilvl="3">
      <w:start w:val="1"/>
      <w:numFmt w:val="decimal"/>
      <w:lvlText w:val="%1.%2.%3.%4."/>
      <w:lvlJc w:val="left"/>
      <w:pPr>
        <w:ind w:hanging="1080" w:left="2520"/>
      </w:pPr>
    </w:lvl>
    <w:lvl w:ilvl="4">
      <w:start w:val="1"/>
      <w:numFmt w:val="decimal"/>
      <w:lvlText w:val="%1.%2.%3.%4.%5."/>
      <w:lvlJc w:val="left"/>
      <w:pPr>
        <w:ind w:hanging="1080" w:left="2880"/>
      </w:pPr>
    </w:lvl>
    <w:lvl w:ilvl="5">
      <w:start w:val="1"/>
      <w:numFmt w:val="decimal"/>
      <w:lvlText w:val="%1.%2.%3.%4.%5.%6."/>
      <w:lvlJc w:val="left"/>
      <w:pPr>
        <w:ind w:hanging="1440" w:left="3600"/>
      </w:pPr>
    </w:lvl>
    <w:lvl w:ilvl="6">
      <w:start w:val="1"/>
      <w:numFmt w:val="decimal"/>
      <w:lvlText w:val="%1.%2.%3.%4.%5.%6.%7."/>
      <w:lvlJc w:val="left"/>
      <w:pPr>
        <w:ind w:hanging="1800" w:left="4320"/>
      </w:pPr>
    </w:lvl>
    <w:lvl w:ilvl="7">
      <w:start w:val="1"/>
      <w:numFmt w:val="decimal"/>
      <w:lvlText w:val="%1.%2.%3.%4.%5.%6.%7.%8."/>
      <w:lvlJc w:val="left"/>
      <w:pPr>
        <w:ind w:hanging="1800" w:left="4680"/>
      </w:pPr>
    </w:lvl>
    <w:lvl w:ilvl="8">
      <w:start w:val="1"/>
      <w:numFmt w:val="decimal"/>
      <w:lvlText w:val="%1.%2.%3.%4.%5.%6.%7.%8.%9."/>
      <w:lvlJc w:val="left"/>
      <w:pPr>
        <w:ind w:hanging="2160" w:left="540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1429"/>
      </w:pPr>
      <w:rPr>
        <w:rFonts w:ascii="Times New Roman" w:hAnsi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1069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3">
    <w:lvl w:ilvl="0">
      <w:start w:val="5"/>
      <w:numFmt w:val="decimal"/>
      <w:lvlText w:val="%1."/>
      <w:lvlJc w:val="left"/>
      <w:pPr>
        <w:ind w:hanging="360" w:left="1211"/>
      </w:pPr>
    </w:lvl>
    <w:lvl w:ilvl="1">
      <w:start w:val="1"/>
      <w:numFmt w:val="lowerLetter"/>
      <w:lvlText w:val="%2."/>
      <w:lvlJc w:val="left"/>
      <w:pPr>
        <w:ind w:hanging="360" w:left="2149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1353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1931"/>
      </w:pPr>
    </w:lvl>
    <w:lvl w:ilvl="2">
      <w:start w:val="1"/>
      <w:numFmt w:val="lowerRoman"/>
      <w:lvlText w:val="%3."/>
      <w:lvlJc w:val="right"/>
      <w:pPr>
        <w:ind w:hanging="180" w:left="2651"/>
      </w:pPr>
    </w:lvl>
    <w:lvl w:ilvl="3">
      <w:start w:val="1"/>
      <w:numFmt w:val="decimal"/>
      <w:lvlText w:val="%4."/>
      <w:lvlJc w:val="left"/>
      <w:pPr>
        <w:ind w:hanging="360" w:left="3371"/>
      </w:pPr>
    </w:lvl>
    <w:lvl w:ilvl="4">
      <w:start w:val="1"/>
      <w:numFmt w:val="lowerLetter"/>
      <w:lvlText w:val="%5."/>
      <w:lvlJc w:val="left"/>
      <w:pPr>
        <w:ind w:hanging="360" w:left="4091"/>
      </w:pPr>
    </w:lvl>
    <w:lvl w:ilvl="5">
      <w:start w:val="1"/>
      <w:numFmt w:val="lowerRoman"/>
      <w:lvlText w:val="%6."/>
      <w:lvlJc w:val="right"/>
      <w:pPr>
        <w:ind w:hanging="180" w:left="4811"/>
      </w:pPr>
    </w:lvl>
    <w:lvl w:ilvl="6">
      <w:start w:val="1"/>
      <w:numFmt w:val="decimal"/>
      <w:lvlText w:val="%7."/>
      <w:lvlJc w:val="left"/>
      <w:pPr>
        <w:ind w:hanging="360" w:left="5531"/>
      </w:pPr>
    </w:lvl>
    <w:lvl w:ilvl="7">
      <w:start w:val="1"/>
      <w:numFmt w:val="lowerLetter"/>
      <w:lvlText w:val="%8."/>
      <w:lvlJc w:val="left"/>
      <w:pPr>
        <w:ind w:hanging="360" w:left="6251"/>
      </w:pPr>
    </w:lvl>
    <w:lvl w:ilvl="8">
      <w:start w:val="1"/>
      <w:numFmt w:val="lowerRoman"/>
      <w:lvlText w:val="%9."/>
      <w:lvlJc w:val="right"/>
      <w:pPr>
        <w:ind w:hanging="180" w:left="6971"/>
      </w:pPr>
    </w:lvl>
  </w:abstractNum>
  <w:abstractNum w:abstractNumId="5">
    <w:lvl w:ilvl="0">
      <w:start w:val="1"/>
      <w:numFmt w:val="decimal"/>
      <w:lvlText w:val="%1."/>
      <w:lvlJc w:val="left"/>
      <w:pPr>
        <w:ind w:hanging="435" w:left="2279"/>
      </w:pPr>
    </w:lvl>
    <w:lvl w:ilvl="1">
      <w:start w:val="1"/>
      <w:numFmt w:val="lowerLetter"/>
      <w:lvlText w:val="%2."/>
      <w:lvlJc w:val="left"/>
      <w:pPr>
        <w:ind w:hanging="360" w:left="2924"/>
      </w:pPr>
    </w:lvl>
    <w:lvl w:ilvl="2">
      <w:start w:val="1"/>
      <w:numFmt w:val="lowerRoman"/>
      <w:lvlText w:val="%3."/>
      <w:lvlJc w:val="right"/>
      <w:pPr>
        <w:ind w:hanging="180" w:left="3644"/>
      </w:pPr>
    </w:lvl>
    <w:lvl w:ilvl="3">
      <w:start w:val="1"/>
      <w:numFmt w:val="decimal"/>
      <w:lvlText w:val="%4."/>
      <w:lvlJc w:val="left"/>
      <w:pPr>
        <w:ind w:hanging="360" w:left="4364"/>
      </w:pPr>
    </w:lvl>
    <w:lvl w:ilvl="4">
      <w:start w:val="1"/>
      <w:numFmt w:val="lowerLetter"/>
      <w:lvlText w:val="%5."/>
      <w:lvlJc w:val="left"/>
      <w:pPr>
        <w:ind w:hanging="360" w:left="5084"/>
      </w:pPr>
    </w:lvl>
    <w:lvl w:ilvl="5">
      <w:start w:val="1"/>
      <w:numFmt w:val="lowerRoman"/>
      <w:lvlText w:val="%6."/>
      <w:lvlJc w:val="right"/>
      <w:pPr>
        <w:ind w:hanging="180" w:left="5804"/>
      </w:pPr>
    </w:lvl>
    <w:lvl w:ilvl="6">
      <w:start w:val="1"/>
      <w:numFmt w:val="decimal"/>
      <w:lvlText w:val="%7."/>
      <w:lvlJc w:val="left"/>
      <w:pPr>
        <w:ind w:hanging="360" w:left="6524"/>
      </w:pPr>
    </w:lvl>
    <w:lvl w:ilvl="7">
      <w:start w:val="1"/>
      <w:numFmt w:val="lowerLetter"/>
      <w:lvlText w:val="%8."/>
      <w:lvlJc w:val="left"/>
      <w:pPr>
        <w:ind w:hanging="360" w:left="7244"/>
      </w:pPr>
    </w:lvl>
    <w:lvl w:ilvl="8">
      <w:start w:val="1"/>
      <w:numFmt w:val="lowerRoman"/>
      <w:lvlText w:val="%9."/>
      <w:lvlJc w:val="right"/>
      <w:pPr>
        <w:ind w:hanging="180" w:left="7964"/>
      </w:pPr>
    </w:lvl>
  </w:abstractNum>
  <w:abstractNum w:abstractNumId="6">
    <w:lvl w:ilvl="0">
      <w:start w:val="1"/>
      <w:numFmt w:val="decimal"/>
      <w:lvlText w:val="3.%1."/>
      <w:lvlJc w:val="left"/>
      <w:pPr>
        <w:ind w:firstLine="0" w:left="0"/>
      </w:pPr>
      <w:rPr>
        <w:b w:val="0"/>
        <w:i w:val="0"/>
        <w:caps w:val="0"/>
        <w:smallCaps w:val="0"/>
        <w:strike w:val="0"/>
        <w:color w:val="000000"/>
        <w:spacing w:val="0"/>
        <w:sz w:val="28"/>
        <w:u w:val="none"/>
      </w:rPr>
    </w:lvl>
    <w:lvl w:ilvl="1">
      <w:start w:val="1"/>
      <w:numFmt w:val="decimal"/>
      <w:lvlText w:val=""/>
      <w:lvlJc w:val="left"/>
      <w:pPr>
        <w:ind w:firstLine="0" w:left="0"/>
      </w:pPr>
    </w:lvl>
    <w:lvl w:ilvl="2">
      <w:start w:val="1"/>
      <w:numFmt w:val="decimal"/>
      <w:lvlText w:val=""/>
      <w:lvlJc w:val="left"/>
      <w:pPr>
        <w:ind w:firstLine="0" w:left="0"/>
      </w:pPr>
    </w:lvl>
    <w:lvl w:ilvl="3">
      <w:start w:val="1"/>
      <w:numFmt w:val="decimal"/>
      <w:lvlText w:val=""/>
      <w:lvlJc w:val="left"/>
      <w:pPr>
        <w:ind w:firstLine="0" w:left="0"/>
      </w:pPr>
    </w:lvl>
    <w:lvl w:ilvl="4">
      <w:start w:val="1"/>
      <w:numFmt w:val="decimal"/>
      <w:lvlText w:val=""/>
      <w:lvlJc w:val="left"/>
      <w:pPr>
        <w:ind w:firstLine="0" w:left="0"/>
      </w:pPr>
    </w:lvl>
    <w:lvl w:ilvl="5">
      <w:start w:val="1"/>
      <w:numFmt w:val="decimal"/>
      <w:lvlText w:val=""/>
      <w:lvlJc w:val="left"/>
      <w:pPr>
        <w:ind w:firstLine="0" w:left="0"/>
      </w:pPr>
    </w:lvl>
    <w:lvl w:ilvl="6">
      <w:start w:val="1"/>
      <w:numFmt w:val="decimal"/>
      <w:lvlText w:val=""/>
      <w:lvlJc w:val="left"/>
      <w:pPr>
        <w:ind w:firstLine="0" w:left="0"/>
      </w:pPr>
    </w:lvl>
    <w:lvl w:ilvl="7">
      <w:start w:val="1"/>
      <w:numFmt w:val="decimal"/>
      <w:lvlText w:val=""/>
      <w:lvlJc w:val="left"/>
      <w:pPr>
        <w:ind w:firstLine="0" w:left="0"/>
      </w:pPr>
    </w:lvl>
    <w:lvl w:ilvl="8">
      <w:start w:val="1"/>
      <w:numFmt w:val="decimal"/>
      <w:lvlText w:val=""/>
      <w:lvlJc w:val="left"/>
      <w:pPr>
        <w:ind w:firstLine="0" w:left="0"/>
      </w:pPr>
    </w:lvl>
  </w:abstractNum>
  <w:abstractNum w:abstractNumId="7">
    <w:lvl w:ilvl="0">
      <w:start w:val="1"/>
      <w:numFmt w:val="decimal"/>
      <w:lvlText w:val="%1)"/>
      <w:lvlJc w:val="left"/>
      <w:pPr>
        <w:ind w:hanging="360" w:left="1429"/>
      </w:pPr>
    </w:lvl>
    <w:lvl w:ilvl="1">
      <w:start w:val="1"/>
      <w:numFmt w:val="decimal"/>
      <w:lvlText w:val="%2."/>
      <w:lvlJc w:val="left"/>
      <w:pPr>
        <w:ind w:hanging="1410" w:left="2261"/>
      </w:pPr>
    </w:lvl>
    <w:lvl w:ilvl="2">
      <w:start w:val="1"/>
      <w:numFmt w:val="lowerRoman"/>
      <w:lvlText w:val="%3."/>
      <w:lvlJc w:val="right"/>
      <w:pPr>
        <w:ind w:hanging="180" w:left="2869"/>
      </w:pPr>
    </w:lvl>
    <w:lvl w:ilvl="3">
      <w:start w:val="1"/>
      <w:numFmt w:val="decimal"/>
      <w:lvlText w:val="%4."/>
      <w:lvlJc w:val="left"/>
      <w:pPr>
        <w:ind w:hanging="360" w:left="3589"/>
      </w:pPr>
    </w:lvl>
    <w:lvl w:ilvl="4">
      <w:start w:val="1"/>
      <w:numFmt w:val="lowerLetter"/>
      <w:lvlText w:val="%5."/>
      <w:lvlJc w:val="left"/>
      <w:pPr>
        <w:ind w:hanging="360" w:left="4309"/>
      </w:pPr>
    </w:lvl>
    <w:lvl w:ilvl="5">
      <w:start w:val="1"/>
      <w:numFmt w:val="lowerRoman"/>
      <w:lvlText w:val="%6."/>
      <w:lvlJc w:val="right"/>
      <w:pPr>
        <w:ind w:hanging="180" w:left="5029"/>
      </w:pPr>
    </w:lvl>
    <w:lvl w:ilvl="6">
      <w:start w:val="1"/>
      <w:numFmt w:val="decimal"/>
      <w:lvlText w:val="%7."/>
      <w:lvlJc w:val="left"/>
      <w:pPr>
        <w:ind w:hanging="360" w:left="5749"/>
      </w:pPr>
    </w:lvl>
    <w:lvl w:ilvl="7">
      <w:start w:val="1"/>
      <w:numFmt w:val="lowerLetter"/>
      <w:lvlText w:val="%8."/>
      <w:lvlJc w:val="left"/>
      <w:pPr>
        <w:ind w:hanging="360" w:left="6469"/>
      </w:pPr>
    </w:lvl>
    <w:lvl w:ilvl="8">
      <w:start w:val="1"/>
      <w:numFmt w:val="lowerRoman"/>
      <w:lvlText w:val="%9."/>
      <w:lvlJc w:val="right"/>
      <w:pPr>
        <w:ind w:hanging="180" w:left="718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spacing w:after="200" w:line="276" w:lineRule="auto"/>
      <w:ind/>
    </w:pPr>
    <w:rPr>
      <w:sz w:val="22"/>
    </w:rPr>
  </w:style>
  <w:style w:default="1" w:styleId="Style_7_ch" w:type="character">
    <w:name w:val="Normal"/>
    <w:link w:val="Style_7"/>
    <w:rPr>
      <w:sz w:val="22"/>
    </w:rPr>
  </w:style>
  <w:style w:styleId="Style_8" w:type="paragraph">
    <w:name w:val="ListLabel 22"/>
    <w:link w:val="Style_8_ch"/>
    <w:rPr>
      <w:color w:val="000000"/>
      <w:sz w:val="28"/>
    </w:rPr>
  </w:style>
  <w:style w:styleId="Style_8_ch" w:type="character">
    <w:name w:val="ListLabel 22"/>
    <w:link w:val="Style_8"/>
    <w:rPr>
      <w:color w:val="000000"/>
      <w:sz w:val="28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ListLabel 9"/>
    <w:link w:val="Style_10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0_ch" w:type="character">
    <w:name w:val="ListLabel 9"/>
    <w:link w:val="Style_10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1" w:type="paragraph">
    <w:name w:val="Заголовок 3 Знак"/>
    <w:basedOn w:val="Style_12"/>
    <w:link w:val="Style_11_ch"/>
    <w:rPr>
      <w:rFonts w:ascii="Times New Roman" w:hAnsi="Times New Roman"/>
      <w:sz w:val="35"/>
    </w:rPr>
  </w:style>
  <w:style w:styleId="Style_11_ch" w:type="character">
    <w:name w:val="Заголовок 3 Знак"/>
    <w:basedOn w:val="Style_12_ch"/>
    <w:link w:val="Style_11"/>
    <w:rPr>
      <w:rFonts w:ascii="Times New Roman" w:hAnsi="Times New Roman"/>
      <w:sz w:val="35"/>
    </w:rPr>
  </w:style>
  <w:style w:styleId="Style_13" w:type="paragraph">
    <w:name w:val="toc 4"/>
    <w:next w:val="Style_7"/>
    <w:link w:val="Style_1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3_ch" w:type="character">
    <w:name w:val="toc 4"/>
    <w:link w:val="Style_13"/>
    <w:rPr>
      <w:rFonts w:ascii="XO Thames" w:hAnsi="XO Thames"/>
      <w:sz w:val="28"/>
    </w:rPr>
  </w:style>
  <w:style w:styleId="Style_14" w:type="paragraph">
    <w:name w:val="ListLabel 1"/>
    <w:link w:val="Style_14_ch"/>
    <w:rPr>
      <w:b w:val="0"/>
      <w:i w:val="0"/>
      <w:caps w:val="0"/>
      <w:smallCaps w:val="0"/>
      <w:strike w:val="0"/>
      <w:color w:val="000000"/>
      <w:spacing w:val="0"/>
      <w:sz w:val="28"/>
      <w:highlight w:val="white"/>
      <w:u w:val="none"/>
    </w:rPr>
  </w:style>
  <w:style w:styleId="Style_14_ch" w:type="character">
    <w:name w:val="ListLabel 1"/>
    <w:link w:val="Style_14"/>
    <w:rPr>
      <w:b w:val="0"/>
      <w:i w:val="0"/>
      <w:caps w:val="0"/>
      <w:smallCaps w:val="0"/>
      <w:strike w:val="0"/>
      <w:color w:val="000000"/>
      <w:spacing w:val="0"/>
      <w:sz w:val="28"/>
      <w:highlight w:val="white"/>
      <w:u w:val="none"/>
    </w:rPr>
  </w:style>
  <w:style w:styleId="Style_15" w:type="paragraph">
    <w:name w:val="ListLabel 18"/>
    <w:link w:val="Style_15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5_ch" w:type="character">
    <w:name w:val="ListLabel 18"/>
    <w:link w:val="Style_15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6" w:type="paragraph">
    <w:name w:val="ListLabel 19"/>
    <w:link w:val="Style_16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6_ch" w:type="character">
    <w:name w:val="ListLabel 19"/>
    <w:link w:val="Style_16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7" w:type="paragraph">
    <w:name w:val="toc 6"/>
    <w:next w:val="Style_7"/>
    <w:link w:val="Style_1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7_ch" w:type="character">
    <w:name w:val="toc 6"/>
    <w:link w:val="Style_17"/>
    <w:rPr>
      <w:rFonts w:ascii="XO Thames" w:hAnsi="XO Thames"/>
      <w:sz w:val="28"/>
    </w:rPr>
  </w:style>
  <w:style w:styleId="Style_18" w:type="paragraph">
    <w:name w:val="ListLabel 20"/>
    <w:link w:val="Style_18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8_ch" w:type="character">
    <w:name w:val="ListLabel 20"/>
    <w:link w:val="Style_18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19" w:type="paragraph">
    <w:name w:val="toc 7"/>
    <w:next w:val="Style_7"/>
    <w:link w:val="Style_1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ListLabel 5"/>
    <w:link w:val="Style_20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20_ch" w:type="character">
    <w:name w:val="ListLabel 5"/>
    <w:link w:val="Style_20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21" w:type="paragraph">
    <w:name w:val="End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Endnote"/>
    <w:link w:val="Style_21"/>
    <w:rPr>
      <w:rFonts w:ascii="XO Thames" w:hAnsi="XO Thames"/>
      <w:sz w:val="22"/>
    </w:rPr>
  </w:style>
  <w:style w:styleId="Style_22" w:type="paragraph">
    <w:name w:val="heading 3"/>
    <w:basedOn w:val="Style_7"/>
    <w:link w:val="Style_22_ch"/>
    <w:uiPriority w:val="9"/>
    <w:qFormat/>
    <w:pPr>
      <w:widowControl w:val="0"/>
      <w:spacing w:after="0" w:before="55" w:line="240" w:lineRule="auto"/>
      <w:ind w:firstLine="0" w:left="319"/>
      <w:outlineLvl w:val="2"/>
    </w:pPr>
    <w:rPr>
      <w:rFonts w:ascii="Times New Roman" w:hAnsi="Times New Roman"/>
      <w:sz w:val="35"/>
    </w:rPr>
  </w:style>
  <w:style w:styleId="Style_22_ch" w:type="character">
    <w:name w:val="heading 3"/>
    <w:basedOn w:val="Style_7_ch"/>
    <w:link w:val="Style_22"/>
    <w:rPr>
      <w:rFonts w:ascii="Times New Roman" w:hAnsi="Times New Roman"/>
      <w:sz w:val="35"/>
    </w:rPr>
  </w:style>
  <w:style w:styleId="Style_23" w:type="paragraph">
    <w:name w:val="ListLabel 13"/>
    <w:link w:val="Style_23_ch"/>
    <w:rPr>
      <w:color w:val="000000"/>
      <w:sz w:val="28"/>
    </w:rPr>
  </w:style>
  <w:style w:styleId="Style_23_ch" w:type="character">
    <w:name w:val="ListLabel 13"/>
    <w:link w:val="Style_23"/>
    <w:rPr>
      <w:color w:val="000000"/>
      <w:sz w:val="28"/>
    </w:rPr>
  </w:style>
  <w:style w:styleId="Style_24" w:type="paragraph">
    <w:name w:val="ListLabel 4"/>
    <w:link w:val="Style_24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24_ch" w:type="character">
    <w:name w:val="ListLabel 4"/>
    <w:link w:val="Style_24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25" w:type="paragraph">
    <w:name w:val="Основной текст (4)"/>
    <w:basedOn w:val="Style_7"/>
    <w:link w:val="Style_25_ch"/>
    <w:pPr>
      <w:widowControl w:val="0"/>
      <w:spacing w:after="100" w:line="288" w:lineRule="auto"/>
      <w:ind/>
      <w:jc w:val="center"/>
    </w:pPr>
    <w:rPr>
      <w:rFonts w:ascii="Arial" w:hAnsi="Arial"/>
      <w:b w:val="1"/>
      <w:sz w:val="11"/>
    </w:rPr>
  </w:style>
  <w:style w:styleId="Style_25_ch" w:type="character">
    <w:name w:val="Основной текст (4)"/>
    <w:basedOn w:val="Style_7_ch"/>
    <w:link w:val="Style_25"/>
    <w:rPr>
      <w:rFonts w:ascii="Arial" w:hAnsi="Arial"/>
      <w:b w:val="1"/>
      <w:sz w:val="11"/>
    </w:rPr>
  </w:style>
  <w:style w:styleId="Style_26" w:type="paragraph">
    <w:name w:val="ListLabel 28"/>
    <w:link w:val="Style_26_ch"/>
    <w:rPr>
      <w:color w:val="000000"/>
      <w:sz w:val="28"/>
    </w:rPr>
  </w:style>
  <w:style w:styleId="Style_26_ch" w:type="character">
    <w:name w:val="ListLabel 28"/>
    <w:link w:val="Style_26"/>
    <w:rPr>
      <w:color w:val="000000"/>
      <w:sz w:val="28"/>
    </w:rPr>
  </w:style>
  <w:style w:styleId="Style_27" w:type="paragraph">
    <w:name w:val="page number"/>
    <w:basedOn w:val="Style_12"/>
    <w:link w:val="Style_27_ch"/>
  </w:style>
  <w:style w:styleId="Style_27_ch" w:type="character">
    <w:name w:val="page number"/>
    <w:basedOn w:val="Style_12_ch"/>
    <w:link w:val="Style_27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28" w:type="paragraph">
    <w:name w:val="ListLabel 17"/>
    <w:link w:val="Style_28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28_ch" w:type="character">
    <w:name w:val="ListLabel 17"/>
    <w:link w:val="Style_28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29" w:type="paragraph">
    <w:name w:val="Основной текст (2)"/>
    <w:basedOn w:val="Style_7"/>
    <w:link w:val="Style_29_ch"/>
    <w:pPr>
      <w:widowControl w:val="0"/>
      <w:spacing w:after="520" w:line="240" w:lineRule="auto"/>
      <w:ind w:firstLine="0" w:left="3980"/>
    </w:pPr>
    <w:rPr>
      <w:rFonts w:ascii="Times New Roman" w:hAnsi="Times New Roman"/>
      <w:b w:val="1"/>
      <w:color w:val="49474B"/>
      <w:sz w:val="13"/>
      <w:u w:val="single"/>
    </w:rPr>
  </w:style>
  <w:style w:styleId="Style_29_ch" w:type="character">
    <w:name w:val="Основной текст (2)"/>
    <w:basedOn w:val="Style_7_ch"/>
    <w:link w:val="Style_29"/>
    <w:rPr>
      <w:rFonts w:ascii="Times New Roman" w:hAnsi="Times New Roman"/>
      <w:b w:val="1"/>
      <w:color w:val="49474B"/>
      <w:sz w:val="13"/>
      <w:u w:val="single"/>
    </w:rPr>
  </w:style>
  <w:style w:styleId="Style_30" w:type="paragraph">
    <w:name w:val="Body Text"/>
    <w:basedOn w:val="Style_7"/>
    <w:link w:val="Style_30_ch"/>
    <w:pPr>
      <w:spacing w:after="140"/>
      <w:ind/>
    </w:pPr>
  </w:style>
  <w:style w:styleId="Style_30_ch" w:type="character">
    <w:name w:val="Body Text"/>
    <w:basedOn w:val="Style_7_ch"/>
    <w:link w:val="Style_30"/>
  </w:style>
  <w:style w:styleId="Style_2" w:type="paragraph">
    <w:name w:val="Основной текст1"/>
    <w:basedOn w:val="Style_7"/>
    <w:link w:val="Style_2_ch"/>
    <w:pPr>
      <w:widowControl w:val="0"/>
      <w:spacing w:after="0" w:line="252" w:lineRule="auto"/>
      <w:ind w:firstLine="400" w:left="0"/>
    </w:pPr>
    <w:rPr>
      <w:rFonts w:ascii="Times New Roman" w:hAnsi="Times New Roman"/>
      <w:color w:val="49474B"/>
      <w:sz w:val="19"/>
    </w:rPr>
  </w:style>
  <w:style w:styleId="Style_2_ch" w:type="character">
    <w:name w:val="Основной текст1"/>
    <w:basedOn w:val="Style_7_ch"/>
    <w:link w:val="Style_2"/>
    <w:rPr>
      <w:rFonts w:ascii="Times New Roman" w:hAnsi="Times New Roman"/>
      <w:color w:val="49474B"/>
      <w:sz w:val="19"/>
    </w:rPr>
  </w:style>
  <w:style w:styleId="Style_31" w:type="paragraph">
    <w:name w:val="ListLabel 26"/>
    <w:link w:val="Style_31_ch"/>
    <w:rPr>
      <w:color w:val="000000"/>
      <w:sz w:val="28"/>
    </w:rPr>
  </w:style>
  <w:style w:styleId="Style_31_ch" w:type="character">
    <w:name w:val="ListLabel 26"/>
    <w:link w:val="Style_31"/>
    <w:rPr>
      <w:color w:val="000000"/>
      <w:sz w:val="28"/>
    </w:rPr>
  </w:style>
  <w:style w:styleId="Style_32" w:type="paragraph">
    <w:name w:val="ListLabel 15"/>
    <w:link w:val="Style_32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32_ch" w:type="character">
    <w:name w:val="ListLabel 15"/>
    <w:link w:val="Style_32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33" w:type="paragraph">
    <w:name w:val="ListLabel 12"/>
    <w:link w:val="Style_33_ch"/>
  </w:style>
  <w:style w:styleId="Style_33_ch" w:type="character">
    <w:name w:val="ListLabel 12"/>
    <w:link w:val="Style_33"/>
  </w:style>
  <w:style w:styleId="Style_34" w:type="paragraph">
    <w:name w:val="ListLabel 24"/>
    <w:link w:val="Style_34_ch"/>
    <w:rPr>
      <w:rFonts w:ascii="Times New Roman" w:hAnsi="Times New Roman"/>
      <w:color w:val="000000"/>
      <w:sz w:val="28"/>
    </w:rPr>
  </w:style>
  <w:style w:styleId="Style_34_ch" w:type="character">
    <w:name w:val="ListLabel 24"/>
    <w:link w:val="Style_34"/>
    <w:rPr>
      <w:rFonts w:ascii="Times New Roman" w:hAnsi="Times New Roman"/>
      <w:color w:val="000000"/>
      <w:sz w:val="28"/>
    </w:rPr>
  </w:style>
  <w:style w:styleId="Style_35" w:type="paragraph">
    <w:name w:val="toc 3"/>
    <w:next w:val="Style_7"/>
    <w:link w:val="Style_3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5_ch" w:type="character">
    <w:name w:val="toc 3"/>
    <w:link w:val="Style_35"/>
    <w:rPr>
      <w:rFonts w:ascii="XO Thames" w:hAnsi="XO Thames"/>
      <w:sz w:val="28"/>
    </w:rPr>
  </w:style>
  <w:style w:styleId="Style_36" w:type="paragraph">
    <w:name w:val="Основной текст (3)_"/>
    <w:basedOn w:val="Style_12"/>
    <w:link w:val="Style_36_ch"/>
    <w:rPr>
      <w:rFonts w:ascii="Arial" w:hAnsi="Arial"/>
      <w:color w:val="49474B"/>
      <w:sz w:val="15"/>
    </w:rPr>
  </w:style>
  <w:style w:styleId="Style_36_ch" w:type="character">
    <w:name w:val="Основной текст (3)_"/>
    <w:basedOn w:val="Style_12_ch"/>
    <w:link w:val="Style_36"/>
    <w:rPr>
      <w:rFonts w:ascii="Arial" w:hAnsi="Arial"/>
      <w:color w:val="49474B"/>
      <w:sz w:val="15"/>
    </w:rPr>
  </w:style>
  <w:style w:styleId="Style_37" w:type="paragraph">
    <w:name w:val="ListLabel 2"/>
    <w:link w:val="Style_37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37_ch" w:type="character">
    <w:name w:val="ListLabel 2"/>
    <w:link w:val="Style_37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38" w:type="paragraph">
    <w:name w:val="ListLabel 27"/>
    <w:link w:val="Style_38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38_ch" w:type="character">
    <w:name w:val="ListLabel 27"/>
    <w:link w:val="Style_38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39" w:type="paragraph">
    <w:name w:val="heading 5"/>
    <w:next w:val="Style_7"/>
    <w:link w:val="Style_3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9_ch" w:type="character">
    <w:name w:val="heading 5"/>
    <w:link w:val="Style_39"/>
    <w:rPr>
      <w:rFonts w:ascii="XO Thames" w:hAnsi="XO Thames"/>
      <w:b w:val="1"/>
      <w:sz w:val="22"/>
    </w:rPr>
  </w:style>
  <w:style w:styleId="Style_40" w:type="paragraph">
    <w:name w:val="ListLabel 23"/>
    <w:link w:val="Style_40_ch"/>
    <w:rPr>
      <w:rFonts w:ascii="Times New Roman" w:hAnsi="Times New Roman"/>
      <w:b w:val="0"/>
      <w:sz w:val="28"/>
    </w:rPr>
  </w:style>
  <w:style w:styleId="Style_40_ch" w:type="character">
    <w:name w:val="ListLabel 23"/>
    <w:link w:val="Style_40"/>
    <w:rPr>
      <w:rFonts w:ascii="Times New Roman" w:hAnsi="Times New Roman"/>
      <w:b w:val="0"/>
      <w:sz w:val="28"/>
    </w:rPr>
  </w:style>
  <w:style w:styleId="Style_3" w:type="paragraph">
    <w:name w:val="List Paragraph"/>
    <w:basedOn w:val="Style_7"/>
    <w:link w:val="Style_3_ch"/>
    <w:pPr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3_ch" w:type="character">
    <w:name w:val="List Paragraph"/>
    <w:basedOn w:val="Style_7_ch"/>
    <w:link w:val="Style_3"/>
    <w:rPr>
      <w:rFonts w:ascii="Times New Roman" w:hAnsi="Times New Roman"/>
      <w:sz w:val="24"/>
    </w:rPr>
  </w:style>
  <w:style w:styleId="Style_41" w:type="paragraph">
    <w:name w:val="Нижний колонтитул Знак"/>
    <w:basedOn w:val="Style_12"/>
    <w:link w:val="Style_41_ch"/>
  </w:style>
  <w:style w:styleId="Style_41_ch" w:type="character">
    <w:name w:val="Нижний колонтитул Знак"/>
    <w:basedOn w:val="Style_12_ch"/>
    <w:link w:val="Style_41"/>
  </w:style>
  <w:style w:styleId="Style_42" w:type="paragraph">
    <w:name w:val="heading 1"/>
    <w:next w:val="Style_7"/>
    <w:link w:val="Style_4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2_ch" w:type="character">
    <w:name w:val="heading 1"/>
    <w:link w:val="Style_42"/>
    <w:rPr>
      <w:rFonts w:ascii="XO Thames" w:hAnsi="XO Thames"/>
      <w:b w:val="1"/>
      <w:sz w:val="32"/>
    </w:rPr>
  </w:style>
  <w:style w:styleId="Style_43" w:type="paragraph">
    <w:name w:val="ListLabel 6"/>
    <w:link w:val="Style_43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43_ch" w:type="character">
    <w:name w:val="ListLabel 6"/>
    <w:link w:val="Style_43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44" w:type="paragraph">
    <w:name w:val="Hyperlink"/>
    <w:link w:val="Style_44_ch"/>
    <w:rPr>
      <w:color w:val="0000FF"/>
      <w:u w:val="single"/>
    </w:rPr>
  </w:style>
  <w:style w:styleId="Style_44_ch" w:type="character">
    <w:name w:val="Hyperlink"/>
    <w:link w:val="Style_44"/>
    <w:rPr>
      <w:color w:val="0000FF"/>
      <w:u w:val="single"/>
    </w:rPr>
  </w:style>
  <w:style w:styleId="Style_45" w:type="paragraph">
    <w:name w:val="Footnote"/>
    <w:link w:val="Style_45_ch"/>
    <w:pPr>
      <w:ind w:firstLine="851" w:left="0"/>
      <w:jc w:val="both"/>
    </w:pPr>
    <w:rPr>
      <w:rFonts w:ascii="XO Thames" w:hAnsi="XO Thames"/>
      <w:sz w:val="22"/>
    </w:rPr>
  </w:style>
  <w:style w:styleId="Style_45_ch" w:type="character">
    <w:name w:val="Footnote"/>
    <w:link w:val="Style_45"/>
    <w:rPr>
      <w:rFonts w:ascii="XO Thames" w:hAnsi="XO Thames"/>
      <w:sz w:val="22"/>
    </w:rPr>
  </w:style>
  <w:style w:styleId="Style_46" w:type="paragraph">
    <w:name w:val="Основной текст (3)"/>
    <w:basedOn w:val="Style_7"/>
    <w:link w:val="Style_46_ch"/>
    <w:pPr>
      <w:widowControl w:val="0"/>
      <w:spacing w:after="0" w:line="240" w:lineRule="auto"/>
      <w:ind/>
      <w:jc w:val="center"/>
    </w:pPr>
    <w:rPr>
      <w:rFonts w:ascii="Arial" w:hAnsi="Arial"/>
      <w:color w:val="49474B"/>
      <w:sz w:val="15"/>
    </w:rPr>
  </w:style>
  <w:style w:styleId="Style_46_ch" w:type="character">
    <w:name w:val="Основной текст (3)"/>
    <w:basedOn w:val="Style_7_ch"/>
    <w:link w:val="Style_46"/>
    <w:rPr>
      <w:rFonts w:ascii="Arial" w:hAnsi="Arial"/>
      <w:color w:val="49474B"/>
      <w:sz w:val="15"/>
    </w:rPr>
  </w:style>
  <w:style w:styleId="Style_47" w:type="paragraph">
    <w:name w:val="ListLabel 10"/>
    <w:link w:val="Style_47_ch"/>
    <w:rPr>
      <w:rFonts w:ascii="Times New Roman" w:hAnsi="Times New Roman"/>
      <w:b w:val="0"/>
      <w:sz w:val="28"/>
    </w:rPr>
  </w:style>
  <w:style w:styleId="Style_47_ch" w:type="character">
    <w:name w:val="ListLabel 10"/>
    <w:link w:val="Style_47"/>
    <w:rPr>
      <w:rFonts w:ascii="Times New Roman" w:hAnsi="Times New Roman"/>
      <w:b w:val="0"/>
      <w:sz w:val="28"/>
    </w:rPr>
  </w:style>
  <w:style w:styleId="Style_48" w:type="paragraph">
    <w:name w:val="toc 1"/>
    <w:next w:val="Style_7"/>
    <w:link w:val="Style_4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8_ch" w:type="character">
    <w:name w:val="toc 1"/>
    <w:link w:val="Style_48"/>
    <w:rPr>
      <w:rFonts w:ascii="XO Thames" w:hAnsi="XO Thames"/>
      <w:b w:val="1"/>
      <w:sz w:val="28"/>
    </w:rPr>
  </w:style>
  <w:style w:styleId="Style_49" w:type="paragraph">
    <w:name w:val="Header and Footer"/>
    <w:link w:val="Style_49_ch"/>
    <w:pPr>
      <w:spacing w:line="240" w:lineRule="auto"/>
      <w:ind/>
      <w:jc w:val="both"/>
    </w:pPr>
    <w:rPr>
      <w:rFonts w:ascii="XO Thames" w:hAnsi="XO Thames"/>
      <w:sz w:val="28"/>
    </w:rPr>
  </w:style>
  <w:style w:styleId="Style_49_ch" w:type="character">
    <w:name w:val="Header and Footer"/>
    <w:link w:val="Style_49"/>
    <w:rPr>
      <w:rFonts w:ascii="XO Thames" w:hAnsi="XO Thames"/>
      <w:sz w:val="28"/>
    </w:rPr>
  </w:style>
  <w:style w:styleId="Style_50" w:type="paragraph">
    <w:name w:val="ListLabel 8"/>
    <w:link w:val="Style_50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50_ch" w:type="character">
    <w:name w:val="ListLabel 8"/>
    <w:link w:val="Style_50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51" w:type="paragraph">
    <w:name w:val="Верхний колонтитул Знак"/>
    <w:basedOn w:val="Style_12"/>
    <w:link w:val="Style_51_ch"/>
  </w:style>
  <w:style w:styleId="Style_51_ch" w:type="character">
    <w:name w:val="Верхний колонтитул Знак"/>
    <w:basedOn w:val="Style_12_ch"/>
    <w:link w:val="Style_5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52" w:type="paragraph">
    <w:name w:val="ListLabel 11"/>
    <w:link w:val="Style_52_ch"/>
    <w:rPr>
      <w:rFonts w:ascii="Times New Roman" w:hAnsi="Times New Roman"/>
      <w:color w:val="000000"/>
      <w:sz w:val="28"/>
    </w:rPr>
  </w:style>
  <w:style w:styleId="Style_52_ch" w:type="character">
    <w:name w:val="ListLabel 11"/>
    <w:link w:val="Style_52"/>
    <w:rPr>
      <w:rFonts w:ascii="Times New Roman" w:hAnsi="Times New Roman"/>
      <w:color w:val="000000"/>
      <w:sz w:val="28"/>
    </w:rPr>
  </w:style>
  <w:style w:styleId="Style_53" w:type="paragraph">
    <w:name w:val="toc 9"/>
    <w:next w:val="Style_7"/>
    <w:link w:val="Style_5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53_ch" w:type="character">
    <w:name w:val="toc 9"/>
    <w:link w:val="Style_53"/>
    <w:rPr>
      <w:rFonts w:ascii="XO Thames" w:hAnsi="XO Thames"/>
      <w:sz w:val="28"/>
    </w:rPr>
  </w:style>
  <w:style w:styleId="Style_54" w:type="paragraph">
    <w:name w:val="ListLabel 21"/>
    <w:link w:val="Style_54_ch"/>
    <w:rPr>
      <w:color w:val="000000"/>
      <w:sz w:val="28"/>
    </w:rPr>
  </w:style>
  <w:style w:styleId="Style_54_ch" w:type="character">
    <w:name w:val="ListLabel 21"/>
    <w:link w:val="Style_54"/>
    <w:rPr>
      <w:color w:val="000000"/>
      <w:sz w:val="28"/>
    </w:rPr>
  </w:style>
  <w:style w:styleId="Style_55" w:type="paragraph">
    <w:name w:val="index heading"/>
    <w:basedOn w:val="Style_7"/>
    <w:link w:val="Style_55_ch"/>
  </w:style>
  <w:style w:styleId="Style_55_ch" w:type="character">
    <w:name w:val="index heading"/>
    <w:basedOn w:val="Style_7_ch"/>
    <w:link w:val="Style_55"/>
  </w:style>
  <w:style w:styleId="Style_56" w:type="paragraph">
    <w:name w:val="toc 8"/>
    <w:next w:val="Style_7"/>
    <w:link w:val="Style_5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56_ch" w:type="character">
    <w:name w:val="toc 8"/>
    <w:link w:val="Style_56"/>
    <w:rPr>
      <w:rFonts w:ascii="XO Thames" w:hAnsi="XO Thames"/>
      <w:sz w:val="28"/>
    </w:rPr>
  </w:style>
  <w:style w:styleId="Style_6" w:type="paragraph">
    <w:name w:val="Strong"/>
    <w:basedOn w:val="Style_12"/>
    <w:link w:val="Style_6_ch"/>
    <w:rPr>
      <w:b w:val="1"/>
    </w:rPr>
  </w:style>
  <w:style w:styleId="Style_6_ch" w:type="character">
    <w:name w:val="Strong"/>
    <w:basedOn w:val="Style_12_ch"/>
    <w:link w:val="Style_6"/>
    <w:rPr>
      <w:b w:val="1"/>
    </w:rPr>
  </w:style>
  <w:style w:styleId="Style_57" w:type="paragraph">
    <w:name w:val="footer"/>
    <w:basedOn w:val="Style_7"/>
    <w:link w:val="Style_57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7_ch" w:type="character">
    <w:name w:val="footer"/>
    <w:basedOn w:val="Style_7_ch"/>
    <w:link w:val="Style_57"/>
  </w:style>
  <w:style w:styleId="Style_5" w:type="paragraph">
    <w:name w:val="s_1"/>
    <w:basedOn w:val="Style_7"/>
    <w:link w:val="Style_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_ch" w:type="character">
    <w:name w:val="s_1"/>
    <w:basedOn w:val="Style_7_ch"/>
    <w:link w:val="Style_5"/>
    <w:rPr>
      <w:rFonts w:ascii="Times New Roman" w:hAnsi="Times New Roman"/>
      <w:sz w:val="24"/>
    </w:rPr>
  </w:style>
  <w:style w:styleId="Style_58" w:type="paragraph">
    <w:name w:val="toc 5"/>
    <w:next w:val="Style_7"/>
    <w:link w:val="Style_5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8_ch" w:type="character">
    <w:name w:val="toc 5"/>
    <w:link w:val="Style_58"/>
    <w:rPr>
      <w:rFonts w:ascii="XO Thames" w:hAnsi="XO Thames"/>
      <w:sz w:val="28"/>
    </w:rPr>
  </w:style>
  <w:style w:styleId="Style_59" w:type="paragraph">
    <w:name w:val="ListLabel 25"/>
    <w:link w:val="Style_59_ch"/>
  </w:style>
  <w:style w:styleId="Style_59_ch" w:type="character">
    <w:name w:val="ListLabel 25"/>
    <w:link w:val="Style_59"/>
  </w:style>
  <w:style w:styleId="Style_60" w:type="paragraph">
    <w:name w:val="ListLabel 3"/>
    <w:link w:val="Style_60_ch"/>
    <w:rPr>
      <w:b w:val="0"/>
      <w:i w:val="0"/>
      <w:caps w:val="0"/>
      <w:smallCaps w:val="0"/>
      <w:strike w:val="0"/>
      <w:color w:val="000000"/>
      <w:spacing w:val="0"/>
      <w:sz w:val="28"/>
      <w:highlight w:val="white"/>
      <w:u w:val="none"/>
    </w:rPr>
  </w:style>
  <w:style w:styleId="Style_60_ch" w:type="character">
    <w:name w:val="ListLabel 3"/>
    <w:link w:val="Style_60"/>
    <w:rPr>
      <w:b w:val="0"/>
      <w:i w:val="0"/>
      <w:caps w:val="0"/>
      <w:smallCaps w:val="0"/>
      <w:strike w:val="0"/>
      <w:color w:val="000000"/>
      <w:spacing w:val="0"/>
      <w:sz w:val="28"/>
      <w:highlight w:val="white"/>
      <w:u w:val="none"/>
    </w:rPr>
  </w:style>
  <w:style w:styleId="Style_61" w:type="paragraph">
    <w:name w:val="List"/>
    <w:basedOn w:val="Style_30"/>
    <w:link w:val="Style_61_ch"/>
  </w:style>
  <w:style w:styleId="Style_61_ch" w:type="character">
    <w:name w:val="List"/>
    <w:basedOn w:val="Style_30_ch"/>
    <w:link w:val="Style_61"/>
  </w:style>
  <w:style w:styleId="Style_62" w:type="paragraph">
    <w:name w:val="caption"/>
    <w:basedOn w:val="Style_7"/>
    <w:link w:val="Style_62_ch"/>
    <w:pPr>
      <w:spacing w:after="120" w:before="120"/>
      <w:ind/>
    </w:pPr>
    <w:rPr>
      <w:i w:val="1"/>
      <w:sz w:val="24"/>
    </w:rPr>
  </w:style>
  <w:style w:styleId="Style_62_ch" w:type="character">
    <w:name w:val="caption"/>
    <w:basedOn w:val="Style_7_ch"/>
    <w:link w:val="Style_62"/>
    <w:rPr>
      <w:i w:val="1"/>
      <w:sz w:val="24"/>
    </w:rPr>
  </w:style>
  <w:style w:styleId="Style_4" w:type="paragraph">
    <w:name w:val="ConsPlusNormal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Normal"/>
    <w:link w:val="Style_4"/>
    <w:rPr>
      <w:rFonts w:ascii="Arial" w:hAnsi="Arial"/>
    </w:rPr>
  </w:style>
  <w:style w:styleId="Style_63" w:type="paragraph">
    <w:name w:val="Subtitle"/>
    <w:next w:val="Style_7"/>
    <w:link w:val="Style_6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3_ch" w:type="character">
    <w:name w:val="Subtitle"/>
    <w:link w:val="Style_63"/>
    <w:rPr>
      <w:rFonts w:ascii="XO Thames" w:hAnsi="XO Thames"/>
      <w:i w:val="1"/>
      <w:sz w:val="24"/>
    </w:rPr>
  </w:style>
  <w:style w:styleId="Style_64" w:type="paragraph">
    <w:name w:val="ListLabel 14"/>
    <w:link w:val="Style_64_ch"/>
    <w:rPr>
      <w:b w:val="1"/>
      <w:i w:val="0"/>
      <w:caps w:val="0"/>
      <w:smallCaps w:val="0"/>
      <w:strike w:val="0"/>
      <w:color w:val="000000"/>
      <w:spacing w:val="0"/>
      <w:sz w:val="28"/>
      <w:highlight w:val="white"/>
      <w:u w:val="none"/>
    </w:rPr>
  </w:style>
  <w:style w:styleId="Style_64_ch" w:type="character">
    <w:name w:val="ListLabel 14"/>
    <w:link w:val="Style_64"/>
    <w:rPr>
      <w:b w:val="1"/>
      <w:i w:val="0"/>
      <w:caps w:val="0"/>
      <w:smallCaps w:val="0"/>
      <w:strike w:val="0"/>
      <w:color w:val="000000"/>
      <w:spacing w:val="0"/>
      <w:sz w:val="28"/>
      <w:highlight w:val="white"/>
      <w:u w:val="none"/>
    </w:rPr>
  </w:style>
  <w:style w:styleId="Style_65" w:type="paragraph">
    <w:name w:val="ListLabel 16"/>
    <w:link w:val="Style_65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65_ch" w:type="character">
    <w:name w:val="ListLabel 16"/>
    <w:link w:val="Style_65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66" w:type="paragraph">
    <w:name w:val="Title"/>
    <w:basedOn w:val="Style_7"/>
    <w:next w:val="Style_30"/>
    <w:link w:val="Style_66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6_ch" w:type="character">
    <w:name w:val="Title"/>
    <w:basedOn w:val="Style_7_ch"/>
    <w:link w:val="Style_66"/>
    <w:rPr>
      <w:rFonts w:ascii="Liberation Sans" w:hAnsi="Liberation Sans"/>
      <w:sz w:val="28"/>
    </w:rPr>
  </w:style>
  <w:style w:styleId="Style_67" w:type="paragraph">
    <w:name w:val="heading 4"/>
    <w:next w:val="Style_7"/>
    <w:link w:val="Style_6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7_ch" w:type="character">
    <w:name w:val="heading 4"/>
    <w:link w:val="Style_67"/>
    <w:rPr>
      <w:rFonts w:ascii="XO Thames" w:hAnsi="XO Thames"/>
      <w:b w:val="1"/>
      <w:sz w:val="24"/>
    </w:rPr>
  </w:style>
  <w:style w:styleId="Style_68" w:type="paragraph">
    <w:name w:val="ListLabel 7"/>
    <w:link w:val="Style_68_ch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68_ch" w:type="character">
    <w:name w:val="ListLabel 7"/>
    <w:link w:val="Style_68"/>
    <w:rPr>
      <w:b w:val="0"/>
      <w:i w:val="0"/>
      <w:caps w:val="0"/>
      <w:smallCaps w:val="0"/>
      <w:strike w:val="0"/>
      <w:color w:val="000000"/>
      <w:spacing w:val="0"/>
      <w:sz w:val="28"/>
      <w:u w:val="none"/>
    </w:rPr>
  </w:style>
  <w:style w:styleId="Style_69" w:type="paragraph">
    <w:name w:val="heading 2"/>
    <w:next w:val="Style_7"/>
    <w:link w:val="Style_6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9_ch" w:type="character">
    <w:name w:val="heading 2"/>
    <w:link w:val="Style_69"/>
    <w:rPr>
      <w:rFonts w:ascii="XO Thames" w:hAnsi="XO Thames"/>
      <w:b w:val="1"/>
      <w:sz w:val="28"/>
    </w:rPr>
  </w:style>
  <w:style w:default="1" w:styleId="Style_7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2026-03-02T05:53:38Z</dcterms:modified>
</cp:coreProperties>
</file>