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pStyle w:val="Style_2"/>
        <w:tabs>
          <w:tab w:leader="none" w:pos="4677" w:val="center"/>
        </w:tabs>
        <w:ind w:firstLine="0" w:left="5102"/>
        <w:jc w:val="both"/>
        <w:rPr>
          <w:color w:val="212121"/>
          <w:sz w:val="28"/>
          <w:highlight w:val="white"/>
        </w:rPr>
      </w:pPr>
      <w:r>
        <w:rPr>
          <w:sz w:val="28"/>
        </w:rPr>
        <w:t xml:space="preserve"> </w:t>
      </w:r>
      <w:bookmarkStart w:id="1" w:name="_GoBack"/>
      <w:bookmarkEnd w:id="1"/>
      <w:r>
        <w:rPr>
          <w:sz w:val="28"/>
        </w:rPr>
        <w:t>Приложение</w:t>
      </w:r>
    </w:p>
    <w:p w14:paraId="04000000">
      <w:pPr>
        <w:pStyle w:val="Style_2"/>
        <w:tabs>
          <w:tab w:leader="none" w:pos="4677" w:val="center"/>
        </w:tabs>
        <w:ind w:firstLine="0" w:left="5386"/>
        <w:jc w:val="both"/>
        <w:rPr>
          <w:color w:val="212121"/>
          <w:sz w:val="28"/>
          <w:highlight w:val="white"/>
        </w:rPr>
      </w:pPr>
    </w:p>
    <w:p w14:paraId="05000000">
      <w:pPr>
        <w:pStyle w:val="Style_2"/>
        <w:ind w:firstLine="0" w:left="5102"/>
        <w:rPr>
          <w:sz w:val="28"/>
        </w:rPr>
      </w:pPr>
      <w:r>
        <w:rPr>
          <w:sz w:val="28"/>
        </w:rPr>
        <w:t>УТВЕРЖДЕНО</w:t>
      </w:r>
    </w:p>
    <w:p w14:paraId="06000000">
      <w:pPr>
        <w:pStyle w:val="Style_2"/>
        <w:ind w:firstLine="0" w:left="5102"/>
        <w:rPr>
          <w:sz w:val="28"/>
        </w:rPr>
      </w:pPr>
      <w:r>
        <w:rPr>
          <w:sz w:val="28"/>
        </w:rPr>
        <w:t>решением Совета</w:t>
      </w:r>
    </w:p>
    <w:p w14:paraId="07000000">
      <w:pPr>
        <w:pStyle w:val="Style_2"/>
        <w:ind w:firstLine="0" w:left="5102"/>
        <w:rPr>
          <w:sz w:val="28"/>
        </w:rPr>
      </w:pPr>
      <w:r>
        <w:rPr>
          <w:sz w:val="28"/>
        </w:rPr>
        <w:t>муниципального образования Туапсинский муниципальный округ Краснодарского края</w:t>
      </w:r>
    </w:p>
    <w:p w14:paraId="08000000">
      <w:pPr>
        <w:pStyle w:val="Style_2"/>
        <w:ind w:firstLine="0" w:left="5102"/>
        <w:rPr>
          <w:color w:val="212121"/>
          <w:sz w:val="28"/>
          <w:highlight w:val="white"/>
        </w:rPr>
      </w:pPr>
      <w:r>
        <w:rPr>
          <w:sz w:val="28"/>
        </w:rPr>
        <w:t>от 31.10.2025 № 290</w:t>
      </w:r>
      <w:r>
        <w:rPr>
          <w:color w:val="212121"/>
          <w:sz w:val="28"/>
          <w:highlight w:val="white"/>
        </w:rPr>
        <w:t> </w:t>
      </w:r>
    </w:p>
    <w:p w14:paraId="09000000">
      <w:pPr>
        <w:pStyle w:val="Style_2"/>
        <w:keepNext w:val="1"/>
        <w:keepLines w:val="1"/>
        <w:ind/>
        <w:contextualSpacing w:val="1"/>
        <w:jc w:val="center"/>
        <w:outlineLvl w:val="2"/>
      </w:pPr>
    </w:p>
    <w:p w14:paraId="0A000000">
      <w:pPr>
        <w:pStyle w:val="Style_2"/>
        <w:ind w:firstLine="540" w:left="0"/>
        <w:jc w:val="both"/>
        <w:rPr>
          <w:sz w:val="28"/>
        </w:rPr>
      </w:pPr>
    </w:p>
    <w:p w14:paraId="0B000000">
      <w:pPr>
        <w:pStyle w:val="Style_2"/>
        <w:ind/>
        <w:jc w:val="center"/>
        <w:rPr>
          <w:b w:val="1"/>
          <w:sz w:val="28"/>
        </w:rPr>
      </w:pPr>
    </w:p>
    <w:p w14:paraId="0C000000">
      <w:pPr>
        <w:pStyle w:val="Style_2"/>
        <w:ind/>
        <w:jc w:val="center"/>
        <w:rPr>
          <w:b w:val="1"/>
          <w:sz w:val="28"/>
        </w:rPr>
      </w:pPr>
      <w:r>
        <w:rPr>
          <w:b w:val="1"/>
          <w:sz w:val="28"/>
        </w:rPr>
        <w:t xml:space="preserve">ПОЛОЖЕНИЕ </w:t>
      </w:r>
    </w:p>
    <w:p w14:paraId="0D000000">
      <w:pPr>
        <w:pStyle w:val="Style_2"/>
        <w:ind/>
        <w:jc w:val="center"/>
        <w:rPr>
          <w:b w:val="1"/>
          <w:sz w:val="28"/>
        </w:rPr>
      </w:pPr>
      <w:r>
        <w:rPr>
          <w:b w:val="1"/>
          <w:sz w:val="28"/>
        </w:rPr>
        <w:t xml:space="preserve">о порядке сообщения главой Туапсинского муниципального </w:t>
      </w:r>
    </w:p>
    <w:p w14:paraId="0E000000">
      <w:pPr>
        <w:pStyle w:val="Style_2"/>
        <w:ind/>
        <w:jc w:val="center"/>
        <w:rPr>
          <w:b w:val="1"/>
          <w:sz w:val="28"/>
        </w:rPr>
      </w:pPr>
      <w:r>
        <w:rPr>
          <w:b w:val="1"/>
          <w:sz w:val="28"/>
        </w:rPr>
        <w:t>округа, муниципальными служащими администрации</w:t>
      </w:r>
    </w:p>
    <w:p w14:paraId="0F000000">
      <w:pPr>
        <w:pStyle w:val="Style_2"/>
        <w:ind/>
        <w:jc w:val="center"/>
        <w:rPr>
          <w:b w:val="1"/>
          <w:sz w:val="28"/>
        </w:rPr>
      </w:pPr>
      <w:r>
        <w:rPr>
          <w:b w:val="1"/>
          <w:sz w:val="28"/>
        </w:rPr>
        <w:t xml:space="preserve">Туапсинского муниципального округа </w:t>
      </w:r>
    </w:p>
    <w:p w14:paraId="10000000">
      <w:pPr>
        <w:pStyle w:val="Style_2"/>
        <w:ind/>
        <w:jc w:val="center"/>
        <w:rPr>
          <w:b w:val="1"/>
          <w:sz w:val="28"/>
        </w:rPr>
      </w:pPr>
      <w:r>
        <w:rPr>
          <w:b w:val="1"/>
          <w:sz w:val="28"/>
        </w:rPr>
        <w:t xml:space="preserve">о получении подарка в связи с протокольными </w:t>
      </w:r>
    </w:p>
    <w:p w14:paraId="11000000">
      <w:pPr>
        <w:pStyle w:val="Style_2"/>
        <w:ind/>
        <w:jc w:val="center"/>
        <w:rPr>
          <w:b w:val="1"/>
          <w:sz w:val="28"/>
        </w:rPr>
      </w:pPr>
      <w:r>
        <w:rPr>
          <w:b w:val="1"/>
          <w:sz w:val="28"/>
        </w:rPr>
        <w:t xml:space="preserve">мероприятиями, служебными командировками и другими </w:t>
      </w:r>
    </w:p>
    <w:p w14:paraId="12000000">
      <w:pPr>
        <w:pStyle w:val="Style_2"/>
        <w:ind/>
        <w:jc w:val="center"/>
        <w:rPr>
          <w:b w:val="1"/>
          <w:sz w:val="28"/>
        </w:rPr>
      </w:pPr>
      <w:r>
        <w:rPr>
          <w:b w:val="1"/>
          <w:sz w:val="28"/>
        </w:rPr>
        <w:t xml:space="preserve">официальными мероприятиями, участие в которых связано </w:t>
      </w:r>
    </w:p>
    <w:p w14:paraId="13000000">
      <w:pPr>
        <w:pStyle w:val="Style_2"/>
        <w:ind/>
        <w:jc w:val="center"/>
        <w:rPr>
          <w:b w:val="1"/>
          <w:sz w:val="28"/>
        </w:rPr>
      </w:pPr>
      <w:r>
        <w:rPr>
          <w:b w:val="1"/>
          <w:sz w:val="28"/>
        </w:rPr>
        <w:t xml:space="preserve">с исполнением ими служебных (должностных) обязанностей, </w:t>
      </w:r>
    </w:p>
    <w:p w14:paraId="14000000">
      <w:pPr>
        <w:pStyle w:val="Style_2"/>
        <w:ind/>
        <w:jc w:val="center"/>
        <w:rPr>
          <w:b w:val="1"/>
          <w:sz w:val="28"/>
        </w:rPr>
      </w:pPr>
      <w:r>
        <w:rPr>
          <w:b w:val="1"/>
          <w:sz w:val="28"/>
        </w:rPr>
        <w:t xml:space="preserve">сдачи и оценки подарка, реализации (выкупа) и зачислении </w:t>
      </w:r>
    </w:p>
    <w:p w14:paraId="15000000">
      <w:pPr>
        <w:pStyle w:val="Style_2"/>
        <w:ind/>
        <w:jc w:val="center"/>
        <w:rPr>
          <w:b w:val="1"/>
          <w:sz w:val="28"/>
        </w:rPr>
      </w:pPr>
      <w:r>
        <w:rPr>
          <w:b w:val="1"/>
          <w:sz w:val="28"/>
        </w:rPr>
        <w:t xml:space="preserve">средств, вырученных от его реализации  </w:t>
      </w:r>
    </w:p>
    <w:p w14:paraId="16000000">
      <w:pPr>
        <w:pStyle w:val="Style_2"/>
        <w:ind w:firstLine="709" w:left="0"/>
        <w:jc w:val="both"/>
        <w:rPr>
          <w:sz w:val="20"/>
        </w:rPr>
      </w:pPr>
    </w:p>
    <w:p w14:paraId="17000000">
      <w:pPr>
        <w:pStyle w:val="Style_3"/>
        <w:ind/>
        <w:jc w:val="center"/>
        <w:rPr>
          <w:rFonts w:ascii="Times New Roman" w:hAnsi="Times New Roman"/>
          <w:sz w:val="28"/>
        </w:rPr>
      </w:pPr>
      <w:bookmarkStart w:id="2" w:name="P43"/>
      <w:bookmarkEnd w:id="2"/>
    </w:p>
    <w:p w14:paraId="18000000">
      <w:pPr>
        <w:pStyle w:val="Style_2"/>
        <w:ind w:firstLine="709" w:left="0"/>
        <w:jc w:val="both"/>
        <w:rPr>
          <w:sz w:val="28"/>
        </w:rPr>
      </w:pPr>
      <w:r>
        <w:rPr>
          <w:sz w:val="28"/>
        </w:rPr>
        <w:t xml:space="preserve">1. Настоящее Положение определяет </w:t>
      </w:r>
      <w:r>
        <w:rPr>
          <w:sz w:val="28"/>
        </w:rPr>
        <w:fldChar w:fldCharType="begin"/>
      </w:r>
      <w:r>
        <w:rPr>
          <w:sz w:val="28"/>
        </w:rPr>
        <w:instrText>HYPERLINK "https://login.consultant.ru/link/?req=doc&amp;base=LAW&amp;n=508506&amp;date=03.09.2025&amp;dst=102904&amp;field=134кодексРоссийскойФедерации(частьвторая)от%2026.01.1996%20N%2014-ФЗ%20(ред.%20от%2024.06.2025)%20%7bКонсультантПлюс%7d" \o "Гражданский"</w:instrText>
      </w:r>
      <w:r>
        <w:rPr>
          <w:sz w:val="28"/>
        </w:rPr>
        <w:fldChar w:fldCharType="separate"/>
      </w:r>
      <w:r>
        <w:rPr>
          <w:sz w:val="28"/>
        </w:rPr>
        <w:t>порядок</w:t>
      </w:r>
      <w:r>
        <w:rPr>
          <w:sz w:val="28"/>
        </w:rPr>
        <w:fldChar w:fldCharType="end"/>
      </w:r>
      <w:r>
        <w:rPr>
          <w:sz w:val="28"/>
        </w:rPr>
        <w:t xml:space="preserve"> сообщения главой Туапсинского муниципального округа, муниципальными служащими администрации Туапсинского муниципального округа, в том числе муниципальными служащими отраслевых органов администрации  Туапсинского муниципального округа, наделенных правами юридического лица (далее соответственно - глава, служащие, отраслевой орган)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14:paraId="19000000">
      <w:pPr>
        <w:ind w:firstLine="709" w:left="0"/>
        <w:jc w:val="both"/>
        <w:rPr>
          <w:rFonts w:ascii="Times New Roman" w:hAnsi="Times New Roman"/>
          <w:sz w:val="28"/>
        </w:rPr>
      </w:pPr>
      <w:r>
        <w:rPr>
          <w:rFonts w:ascii="Times New Roman" w:hAnsi="Times New Roman"/>
          <w:sz w:val="28"/>
        </w:rPr>
        <w:t xml:space="preserve">2. Для целей настоящего Положения используются следующие понятия: </w:t>
      </w:r>
      <w:r>
        <w:rPr>
          <w:rFonts w:ascii="Times New Roman" w:hAnsi="Times New Roman"/>
          <w:sz w:val="28"/>
        </w:rPr>
        <w:tab/>
      </w:r>
      <w:r>
        <w:rPr>
          <w:rFonts w:ascii="Times New Roman" w:hAnsi="Times New Roman"/>
          <w:sz w:val="28"/>
        </w:rPr>
        <w:t>подарок, полученный в связи с протокольными мероприятиями, служебными командировками и другими официальными мероприятиями - подарок, полученный главой, служащим,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14:paraId="1A000000">
      <w:pPr>
        <w:pStyle w:val="Style_2"/>
        <w:ind w:firstLine="709" w:left="0"/>
        <w:jc w:val="both"/>
        <w:rPr>
          <w:sz w:val="28"/>
        </w:rPr>
      </w:pPr>
      <w:r>
        <w:rPr>
          <w:sz w:val="28"/>
        </w:rP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главой, служащим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14:paraId="1B000000">
      <w:pPr>
        <w:pStyle w:val="Style_2"/>
        <w:ind w:firstLine="703" w:left="0"/>
        <w:jc w:val="both"/>
        <w:rPr>
          <w:sz w:val="28"/>
        </w:rPr>
      </w:pPr>
      <w:r>
        <w:rPr>
          <w:sz w:val="28"/>
        </w:rPr>
        <w:t>3. Глава,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14:paraId="1C000000">
      <w:pPr>
        <w:pStyle w:val="Style_2"/>
        <w:ind w:firstLine="703" w:left="0"/>
        <w:jc w:val="both"/>
        <w:rPr>
          <w:sz w:val="28"/>
        </w:rPr>
      </w:pPr>
      <w:r>
        <w:rPr>
          <w:sz w:val="28"/>
        </w:rPr>
        <w:t>4. Глава, служащие обязаны в порядке, предусмотренном настоящим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отдел кадров администрации Туапсинского муниципального округа (далее – отдел кадров).</w:t>
      </w:r>
    </w:p>
    <w:p w14:paraId="1D000000">
      <w:pPr>
        <w:pStyle w:val="Style_2"/>
        <w:ind w:firstLine="709" w:left="0"/>
        <w:jc w:val="both"/>
        <w:rPr>
          <w:sz w:val="28"/>
        </w:rPr>
      </w:pPr>
      <w:bookmarkStart w:id="3" w:name="P65"/>
      <w:bookmarkEnd w:id="3"/>
      <w:r>
        <w:rPr>
          <w:sz w:val="28"/>
        </w:rPr>
        <w:t xml:space="preserve">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r>
        <w:rPr>
          <w:sz w:val="28"/>
        </w:rPr>
        <w:fldChar w:fldCharType="begin"/>
      </w:r>
      <w:r>
        <w:rPr>
          <w:sz w:val="28"/>
        </w:rPr>
        <w:instrText>HYPERLINK \l "P93" \o "Приложение"</w:instrText>
      </w:r>
      <w:r>
        <w:rPr>
          <w:sz w:val="28"/>
        </w:rPr>
        <w:fldChar w:fldCharType="separate"/>
      </w:r>
      <w:r>
        <w:rPr>
          <w:sz w:val="28"/>
        </w:rPr>
        <w:t>приложению</w:t>
      </w:r>
      <w:r>
        <w:rPr>
          <w:sz w:val="28"/>
        </w:rPr>
        <w:fldChar w:fldCharType="end"/>
      </w:r>
      <w:r>
        <w:rPr>
          <w:sz w:val="28"/>
        </w:rPr>
        <w:t xml:space="preserve"> 1 к настоящему Положению, представляется в отдел кадров не позднее 3 рабочих дней со дня получения подарка.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14:paraId="1E000000">
      <w:pPr>
        <w:pStyle w:val="Style_2"/>
        <w:ind w:firstLine="709" w:left="0"/>
        <w:jc w:val="both"/>
        <w:rPr>
          <w:sz w:val="28"/>
        </w:rPr>
      </w:pPr>
      <w:bookmarkStart w:id="4" w:name="P67"/>
      <w:bookmarkEnd w:id="4"/>
      <w:r>
        <w:rPr>
          <w:sz w:val="28"/>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14:paraId="1F000000">
      <w:pPr>
        <w:pStyle w:val="Style_2"/>
        <w:ind w:firstLine="709" w:left="0"/>
        <w:jc w:val="both"/>
        <w:rPr>
          <w:sz w:val="28"/>
        </w:rPr>
      </w:pPr>
      <w:r>
        <w:rPr>
          <w:sz w:val="28"/>
        </w:rPr>
        <w:t xml:space="preserve">При невозможности подачи уведомления в сроки, указанные в </w:t>
      </w:r>
      <w:r>
        <w:rPr>
          <w:sz w:val="28"/>
        </w:rPr>
        <w:fldChar w:fldCharType="begin"/>
      </w:r>
      <w:r>
        <w:rPr>
          <w:sz w:val="28"/>
        </w:rPr>
        <w:instrText>HYPERLINK \l "P65" \o "5.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w:instrText>
      </w:r>
      <w:r>
        <w:rPr>
          <w:sz w:val="28"/>
        </w:rPr>
        <w:fldChar w:fldCharType="separate"/>
      </w:r>
      <w:r>
        <w:rPr>
          <w:sz w:val="28"/>
        </w:rPr>
        <w:t>абзацах первом</w:t>
      </w:r>
      <w:r>
        <w:rPr>
          <w:sz w:val="28"/>
        </w:rPr>
        <w:fldChar w:fldCharType="end"/>
      </w:r>
      <w:r>
        <w:rPr>
          <w:sz w:val="28"/>
        </w:rPr>
        <w:t xml:space="preserve"> и </w:t>
      </w:r>
      <w:r>
        <w:rPr>
          <w:sz w:val="28"/>
        </w:rPr>
        <w:fldChar w:fldCharType="begin"/>
      </w:r>
      <w:r>
        <w:rPr>
          <w:sz w:val="28"/>
        </w:rPr>
        <w:instrText>HYPERLINK \l "P67" \o "В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instrText>
      </w:r>
      <w:r>
        <w:rPr>
          <w:sz w:val="28"/>
        </w:rPr>
        <w:fldChar w:fldCharType="separate"/>
      </w:r>
      <w:r>
        <w:rPr>
          <w:sz w:val="28"/>
        </w:rPr>
        <w:t>втором</w:t>
      </w:r>
      <w:r>
        <w:rPr>
          <w:sz w:val="28"/>
        </w:rPr>
        <w:fldChar w:fldCharType="end"/>
      </w:r>
      <w:r>
        <w:rPr>
          <w:sz w:val="28"/>
        </w:rPr>
        <w:t xml:space="preserve"> настоящего пункта, по причине, не зависящей от главы, служащего оно представляется не позднее следующего дня после ее устранения.</w:t>
      </w:r>
    </w:p>
    <w:p w14:paraId="20000000">
      <w:pPr>
        <w:pStyle w:val="Style_2"/>
        <w:ind w:firstLine="709" w:left="0"/>
        <w:jc w:val="both"/>
        <w:rPr>
          <w:sz w:val="28"/>
        </w:rPr>
      </w:pPr>
      <w:r>
        <w:rPr>
          <w:sz w:val="28"/>
        </w:rPr>
        <w:t xml:space="preserve">6. Уведомление составляется в 2 экземплярах, один из которых возвращается лицу, представившему уведомление, с отметкой о регистрации в журнале регистрации уведомлений о получении подарка (приложение 2 к настоящему Положению), </w:t>
      </w:r>
      <w:r>
        <w:rPr>
          <w:sz w:val="28"/>
        </w:rPr>
        <w:t xml:space="preserve">другой экземпляр направляется в </w:t>
      </w:r>
      <w:r>
        <w:rPr>
          <w:sz w:val="28"/>
        </w:rPr>
        <w:t>управление имущественных отношений</w:t>
      </w:r>
      <w:r>
        <w:rPr>
          <w:sz w:val="28"/>
        </w:rPr>
        <w:t xml:space="preserve"> администрации Туапсинского муниципального округа (далее – уполномоченный орган) для принятия к бухучету</w:t>
      </w:r>
      <w:r>
        <w:rPr>
          <w:sz w:val="28"/>
        </w:rPr>
        <w:t xml:space="preserve"> в составе казны Туапсинского муниципального округа</w:t>
      </w:r>
      <w:r>
        <w:rPr>
          <w:sz w:val="28"/>
        </w:rPr>
        <w:t xml:space="preserve">, </w:t>
      </w:r>
      <w:r>
        <w:rPr>
          <w:sz w:val="28"/>
        </w:rPr>
        <w:t>согласно порядку, установленному законодательством Российской Федерации</w:t>
      </w:r>
      <w:r>
        <w:rPr>
          <w:sz w:val="28"/>
        </w:rPr>
        <w:t>.</w:t>
      </w:r>
    </w:p>
    <w:p w14:paraId="21000000">
      <w:pPr>
        <w:pStyle w:val="Style_2"/>
        <w:ind w:firstLine="709" w:left="0"/>
        <w:jc w:val="both"/>
        <w:rPr>
          <w:sz w:val="28"/>
        </w:rPr>
      </w:pPr>
      <w:bookmarkStart w:id="5" w:name="P71"/>
      <w:bookmarkEnd w:id="5"/>
      <w:r>
        <w:rPr>
          <w:sz w:val="28"/>
        </w:rPr>
        <w:t xml:space="preserve">7. Подарок, стоимость которого подтверждается документами и </w:t>
      </w:r>
      <w:r>
        <w:rPr>
          <w:sz w:val="28"/>
        </w:rPr>
        <w:t>превышает 3 тысячи рублей либо стоимость которого получившим его служащим неизвестна, сдается ответственному лицу уполномоченного органа, которое принимает его на хранение по акту приема-передачи (приложение 3 к настоящему Положению) не позднее 5 рабочих дней со дня регистрации уведомления в соответствующем журнале регистрации.</w:t>
      </w:r>
    </w:p>
    <w:p w14:paraId="22000000">
      <w:pPr>
        <w:pStyle w:val="Style_2"/>
        <w:ind w:firstLine="709" w:left="0"/>
        <w:jc w:val="both"/>
        <w:rPr>
          <w:sz w:val="28"/>
        </w:rPr>
      </w:pPr>
      <w:r>
        <w:rPr>
          <w:sz w:val="28"/>
        </w:rPr>
        <w:t xml:space="preserve">8. Подарок, полученный главой, независимо от его стоимости, подлежит передаче на хранение в порядке, предусмотренном </w:t>
      </w:r>
      <w:r>
        <w:rPr>
          <w:sz w:val="28"/>
        </w:rPr>
        <w:fldChar w:fldCharType="begin"/>
      </w:r>
      <w:r>
        <w:rPr>
          <w:sz w:val="28"/>
        </w:rPr>
        <w:instrText>HYPERLINK \l "P71" \o "7. 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w:instrText>
      </w:r>
      <w:r>
        <w:rPr>
          <w:sz w:val="28"/>
        </w:rPr>
        <w:fldChar w:fldCharType="separate"/>
      </w:r>
      <w:r>
        <w:rPr>
          <w:sz w:val="28"/>
        </w:rPr>
        <w:t>пунктом</w:t>
      </w:r>
      <w:r>
        <w:rPr>
          <w:color w:val="0000FF"/>
          <w:sz w:val="28"/>
        </w:rPr>
        <w:t xml:space="preserve"> </w:t>
      </w:r>
      <w:r>
        <w:rPr>
          <w:sz w:val="28"/>
        </w:rPr>
        <w:t>7</w:t>
      </w:r>
      <w:r>
        <w:rPr>
          <w:sz w:val="28"/>
        </w:rPr>
        <w:fldChar w:fldCharType="end"/>
      </w:r>
      <w:r>
        <w:rPr>
          <w:sz w:val="28"/>
        </w:rPr>
        <w:t xml:space="preserve"> настоящего Положения.</w:t>
      </w:r>
    </w:p>
    <w:p w14:paraId="23000000">
      <w:pPr>
        <w:pStyle w:val="Style_2"/>
        <w:ind w:firstLine="709" w:left="0"/>
        <w:jc w:val="both"/>
        <w:rPr>
          <w:sz w:val="28"/>
        </w:rPr>
      </w:pPr>
      <w:r>
        <w:rPr>
          <w:sz w:val="28"/>
        </w:rPr>
        <w:t>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14:paraId="24000000">
      <w:pPr>
        <w:pStyle w:val="Style_2"/>
        <w:ind w:firstLine="709" w:left="0"/>
        <w:jc w:val="both"/>
        <w:rPr>
          <w:sz w:val="28"/>
        </w:rPr>
      </w:pPr>
      <w:r>
        <w:rPr>
          <w:sz w:val="28"/>
        </w:rPr>
        <w:t xml:space="preserve">10. В целях принятия к бухгалтерскому учету подарка в порядке, установленном законодательством Российской Федерации, проводится определение его стоимости. </w:t>
      </w:r>
    </w:p>
    <w:p w14:paraId="25000000">
      <w:pPr>
        <w:pStyle w:val="Style_2"/>
        <w:ind w:firstLine="709" w:left="0"/>
        <w:jc w:val="both"/>
        <w:rPr>
          <w:sz w:val="28"/>
        </w:rPr>
      </w:pPr>
      <w:r>
        <w:rPr>
          <w:sz w:val="28"/>
        </w:rPr>
        <w:t>Для проведения оценки стоимости подарка уполномоченный орган направляет копию уведомления в постоянно действующую комиссию по поступлению и выбытию активов администрации Туапсинского муниципального округа, образованную в соответствии с законодательством о бухгалтерском учете</w:t>
      </w:r>
      <w:r>
        <w:rPr>
          <w:sz w:val="28"/>
        </w:rPr>
        <w:t>, состав и порядок работы которой утверждаются постановлением администрации Туапсинского муниципального округа</w:t>
      </w:r>
      <w:r>
        <w:rPr>
          <w:sz w:val="28"/>
        </w:rPr>
        <w:t xml:space="preserve"> (далее – Комиссия).</w:t>
      </w:r>
      <w:r>
        <w:rPr>
          <w:sz w:val="28"/>
        </w:rPr>
        <w:t xml:space="preserve"> </w:t>
      </w:r>
    </w:p>
    <w:p w14:paraId="26000000">
      <w:pPr>
        <w:pStyle w:val="Style_2"/>
        <w:ind w:firstLine="709" w:left="0"/>
        <w:jc w:val="both"/>
        <w:rPr>
          <w:sz w:val="28"/>
        </w:rPr>
      </w:pPr>
      <w:r>
        <w:rPr>
          <w:sz w:val="28"/>
        </w:rPr>
        <w:t xml:space="preserve">Определение стоимости подарка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w:t>
      </w:r>
    </w:p>
    <w:p w14:paraId="27000000">
      <w:pPr>
        <w:pStyle w:val="Style_2"/>
        <w:ind w:firstLine="709" w:left="0"/>
        <w:jc w:val="both"/>
        <w:rPr>
          <w:sz w:val="28"/>
        </w:rPr>
      </w:pPr>
      <w:r>
        <w:rPr>
          <w:sz w:val="28"/>
        </w:rPr>
        <w:t xml:space="preserve">Сведения о рыночной цене подтверждаются документально, а при невозможности документального подтверждения - экспертным путем. </w:t>
      </w:r>
    </w:p>
    <w:p w14:paraId="28000000">
      <w:pPr>
        <w:pStyle w:val="Style_2"/>
        <w:ind w:firstLine="709" w:left="0"/>
        <w:jc w:val="both"/>
        <w:rPr>
          <w:sz w:val="28"/>
        </w:rPr>
      </w:pPr>
      <w:r>
        <w:rPr>
          <w:sz w:val="28"/>
        </w:rPr>
        <w:t>При оценке стоимости подарков, не имеющих документов, подтверждающих их стоимость, используются данные о ценах на аналогичные материальные ценности, полученные в письменной форме от организаций-изготовителей, сведения об уровне цен, имеющиеся у органов государственной статистики, а также в средствах массовой информации и специальной литературе, экспертные заключения (в том числе экспертов, привлеченных на добровольных началах к работе в Комиссии) о стоимости аналогичных материальных ценностей в сопоставимых условиях.</w:t>
      </w:r>
    </w:p>
    <w:p w14:paraId="29000000">
      <w:pPr>
        <w:pStyle w:val="Style_2"/>
        <w:ind w:firstLine="709" w:left="0"/>
        <w:jc w:val="both"/>
        <w:rPr>
          <w:sz w:val="28"/>
        </w:rPr>
      </w:pPr>
      <w:r>
        <w:rPr>
          <w:sz w:val="28"/>
        </w:rPr>
        <w:t>11. Подарок возвращается сдавшему его лицу по акту возврата (приложение 4 к настоящему Положению) в случае, если его стоимость не превышает 3 тысячи рублей.</w:t>
      </w:r>
    </w:p>
    <w:p w14:paraId="2A000000">
      <w:pPr>
        <w:pStyle w:val="Style_2"/>
        <w:ind w:firstLine="709" w:left="0"/>
        <w:jc w:val="both"/>
        <w:rPr>
          <w:sz w:val="28"/>
        </w:rPr>
      </w:pPr>
      <w:r>
        <w:rPr>
          <w:sz w:val="28"/>
        </w:rPr>
        <w:t>12. Уполномоченный орган на основании предоставленных Комиссией копий документов, подтверждающих стоимость подарка (акта оценки (определения) стоимости подарка и (или) первичных документов, подтверждающих стоимость подарка (при наличии) обеспечивает принятие в установленном порядке к бухгалтерскому учету подарка, стоимость которого превышает 3 тысячи рублей.</w:t>
      </w:r>
    </w:p>
    <w:p w14:paraId="2B000000">
      <w:pPr>
        <w:pStyle w:val="Style_2"/>
        <w:ind w:firstLine="709" w:left="0"/>
        <w:jc w:val="both"/>
        <w:rPr>
          <w:sz w:val="28"/>
        </w:rPr>
      </w:pPr>
      <w:bookmarkStart w:id="6" w:name="P78"/>
      <w:bookmarkEnd w:id="6"/>
      <w:r>
        <w:rPr>
          <w:sz w:val="28"/>
        </w:rPr>
        <w:t xml:space="preserve">13. Глава, служащие, сдавшие подарок, могут его выкупить, направив соответствующее заявление не позднее двух месяцев со дня сдачи подарка. Глава </w:t>
      </w:r>
      <w:r>
        <w:rPr>
          <w:sz w:val="28"/>
        </w:rPr>
        <w:t>направляет соответствующее заявление в Совет муниципального образования Туапсинский муниципальный округ Краснодарского края (приложение 5 к настоящему Положению). Служащие направляют соответствующее заявление (приложение 6 к настоящему Положению) на имя главы Туапсинского муниципального округа.</w:t>
      </w:r>
    </w:p>
    <w:p w14:paraId="2C000000">
      <w:pPr>
        <w:pStyle w:val="Style_2"/>
        <w:ind w:firstLine="709" w:left="0"/>
        <w:jc w:val="both"/>
        <w:rPr>
          <w:sz w:val="28"/>
        </w:rPr>
      </w:pPr>
      <w:bookmarkStart w:id="7" w:name="P79"/>
      <w:bookmarkEnd w:id="7"/>
      <w:r>
        <w:rPr>
          <w:sz w:val="28"/>
        </w:rPr>
        <w:t xml:space="preserve">14. Уполномоченный орган в течение 3 месяцев со дня поступления заявления, указанного в </w:t>
      </w:r>
      <w:r>
        <w:rPr>
          <w:sz w:val="28"/>
        </w:rPr>
        <w:fldChar w:fldCharType="begin"/>
      </w:r>
      <w:r>
        <w:rPr>
          <w:sz w:val="28"/>
        </w:rPr>
        <w:instrText>HYPERLINK \l "P78" \o "12.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instrText>
      </w:r>
      <w:r>
        <w:rPr>
          <w:sz w:val="28"/>
        </w:rPr>
        <w:fldChar w:fldCharType="separate"/>
      </w:r>
      <w:r>
        <w:rPr>
          <w:sz w:val="28"/>
        </w:rPr>
        <w:t>пункте</w:t>
      </w:r>
      <w:r>
        <w:rPr>
          <w:color w:val="0000FF"/>
          <w:sz w:val="28"/>
        </w:rPr>
        <w:t xml:space="preserve"> </w:t>
      </w:r>
      <w:r>
        <w:rPr>
          <w:sz w:val="28"/>
        </w:rPr>
        <w:t>13</w:t>
      </w:r>
      <w:r>
        <w:rPr>
          <w:sz w:val="28"/>
        </w:rPr>
        <w:fldChar w:fldCharType="end"/>
      </w:r>
      <w:r>
        <w:rPr>
          <w:sz w:val="28"/>
        </w:rPr>
        <w:t xml:space="preserve"> настоящего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14:paraId="2D000000">
      <w:pPr>
        <w:pStyle w:val="Style_2"/>
        <w:ind w:firstLine="709" w:left="0"/>
        <w:jc w:val="both"/>
        <w:rPr>
          <w:sz w:val="28"/>
        </w:rPr>
      </w:pPr>
      <w:r>
        <w:rPr>
          <w:sz w:val="28"/>
        </w:rPr>
        <w:t xml:space="preserve">14(1). В случае если в отношении подарка, изготовленного из драгоценных металлов и (или) драгоценных камней, не поступило от главы, служащего заявление, указанное в </w:t>
      </w:r>
      <w:r>
        <w:rPr>
          <w:sz w:val="28"/>
        </w:rPr>
        <w:fldChar w:fldCharType="begin"/>
      </w:r>
      <w:r>
        <w:rPr>
          <w:sz w:val="28"/>
        </w:rPr>
        <w:instrText>HYPERLINK \l "P78" \o "12.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instrText>
      </w:r>
      <w:r>
        <w:rPr>
          <w:sz w:val="28"/>
        </w:rPr>
        <w:fldChar w:fldCharType="separate"/>
      </w:r>
      <w:r>
        <w:rPr>
          <w:sz w:val="28"/>
        </w:rPr>
        <w:t>пункте 12</w:t>
      </w:r>
      <w:r>
        <w:rPr>
          <w:sz w:val="28"/>
        </w:rPr>
        <w:fldChar w:fldCharType="end"/>
      </w:r>
      <w:r>
        <w:rPr>
          <w:sz w:val="28"/>
        </w:rPr>
        <w:t xml:space="preserve"> настоящего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органом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14:paraId="2E000000">
      <w:pPr>
        <w:pStyle w:val="Style_2"/>
        <w:ind w:firstLine="709" w:left="0"/>
        <w:jc w:val="both"/>
        <w:rPr>
          <w:sz w:val="28"/>
        </w:rPr>
      </w:pPr>
      <w:r>
        <w:rPr>
          <w:sz w:val="28"/>
        </w:rPr>
        <w:t xml:space="preserve">15. Невыкупленный подарок, а также подарок, в отношении которого не поступило заявление, указанное в </w:t>
      </w:r>
      <w:r>
        <w:rPr>
          <w:sz w:val="28"/>
        </w:rPr>
        <w:fldChar w:fldCharType="begin"/>
      </w:r>
      <w:r>
        <w:rPr>
          <w:sz w:val="28"/>
        </w:rPr>
        <w:instrText>HYPERLINK \l "P78" \o "12.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instrText>
      </w:r>
      <w:r>
        <w:rPr>
          <w:sz w:val="28"/>
        </w:rPr>
        <w:fldChar w:fldCharType="separate"/>
      </w:r>
      <w:r>
        <w:rPr>
          <w:sz w:val="28"/>
        </w:rPr>
        <w:t>пункте 13</w:t>
      </w:r>
      <w:r>
        <w:rPr>
          <w:sz w:val="28"/>
        </w:rPr>
        <w:fldChar w:fldCharType="end"/>
      </w:r>
      <w:r>
        <w:rPr>
          <w:sz w:val="28"/>
        </w:rPr>
        <w:t xml:space="preserve"> настоящего Положения, за исключением подарка, изготовленного из драгоценных металлов и (или) драгоценных камней,</w:t>
      </w:r>
      <w:r>
        <w:t xml:space="preserve"> </w:t>
      </w:r>
      <w:r>
        <w:rPr>
          <w:sz w:val="28"/>
        </w:rPr>
        <w:t xml:space="preserve">может использоваться Туапсинским муниципальным округом с учетом заключения Комиссии о целесообразности использования подарка. </w:t>
      </w:r>
    </w:p>
    <w:p w14:paraId="2F000000">
      <w:pPr>
        <w:pStyle w:val="Style_2"/>
        <w:ind w:firstLine="709" w:left="0"/>
        <w:jc w:val="both"/>
        <w:rPr>
          <w:sz w:val="28"/>
        </w:rPr>
      </w:pPr>
      <w:r>
        <w:rPr>
          <w:sz w:val="28"/>
        </w:rPr>
        <w:t xml:space="preserve">Для этого </w:t>
      </w:r>
      <w:r>
        <w:rPr>
          <w:sz w:val="28"/>
        </w:rPr>
        <w:t xml:space="preserve">заключение Комиссии </w:t>
      </w:r>
      <w:r>
        <w:rPr>
          <w:sz w:val="28"/>
        </w:rPr>
        <w:t>в течение трех рабочих дней направля</w:t>
      </w:r>
      <w:r>
        <w:rPr>
          <w:sz w:val="28"/>
        </w:rPr>
        <w:t>е</w:t>
      </w:r>
      <w:r>
        <w:rPr>
          <w:sz w:val="28"/>
        </w:rPr>
        <w:t xml:space="preserve">тся в </w:t>
      </w:r>
      <w:r>
        <w:rPr>
          <w:sz w:val="28"/>
        </w:rPr>
        <w:t>уполномоченный орган</w:t>
      </w:r>
      <w:r>
        <w:rPr>
          <w:sz w:val="28"/>
        </w:rPr>
        <w:t xml:space="preserve"> для включения в реестр имущества Туапсинского муниципального округа. </w:t>
      </w:r>
    </w:p>
    <w:p w14:paraId="30000000">
      <w:pPr>
        <w:pStyle w:val="Style_2"/>
        <w:ind w:firstLine="709" w:left="0"/>
        <w:jc w:val="both"/>
        <w:rPr>
          <w:sz w:val="28"/>
        </w:rPr>
      </w:pPr>
      <w:bookmarkStart w:id="8" w:name="P84"/>
      <w:bookmarkEnd w:id="8"/>
      <w:r>
        <w:rPr>
          <w:sz w:val="28"/>
        </w:rPr>
        <w:t xml:space="preserve">16. В случае нецелесообразности использования подарка с учетом заключения Комиссии главой Туапсинского муниципального округа принимается решение о реализации подарка и проведении оценки его стоимости для реализации (выкупа), осуществляемой </w:t>
      </w:r>
      <w:r>
        <w:rPr>
          <w:sz w:val="28"/>
        </w:rPr>
        <w:t>уполномоченным органом</w:t>
      </w:r>
      <w:r>
        <w:rPr>
          <w:sz w:val="28"/>
        </w:rPr>
        <w:t xml:space="preserve"> посредством проведения торгов в порядке, предусмотренном законодательством Российской Федерации.</w:t>
      </w:r>
    </w:p>
    <w:p w14:paraId="31000000">
      <w:pPr>
        <w:pStyle w:val="Style_2"/>
        <w:ind w:firstLine="709" w:left="0"/>
        <w:jc w:val="both"/>
        <w:rPr>
          <w:sz w:val="28"/>
        </w:rPr>
      </w:pPr>
      <w:r>
        <w:rPr>
          <w:sz w:val="28"/>
        </w:rPr>
        <w:t xml:space="preserve">17. Оценка стоимости подарка для реализации (выкупа), предусмотренная </w:t>
      </w:r>
      <w:r>
        <w:rPr>
          <w:sz w:val="28"/>
        </w:rPr>
        <w:fldChar w:fldCharType="begin"/>
      </w:r>
      <w:r>
        <w:rPr>
          <w:sz w:val="28"/>
        </w:rPr>
        <w:instrText>HYPERLINK \l "P79" \o "13. Уполномоченное структурное подразделение (уполномоченные орган или организация) в течение 3 месяцев со дня поступления заявления, указанного в пункте 12 настоящего Типового положения, организует оценку стоимости подарка для реализации (выкупа) и уведомляет"</w:instrText>
      </w:r>
      <w:r>
        <w:rPr>
          <w:sz w:val="28"/>
        </w:rPr>
        <w:fldChar w:fldCharType="separate"/>
      </w:r>
      <w:r>
        <w:rPr>
          <w:sz w:val="28"/>
        </w:rPr>
        <w:t>пунктами 14</w:t>
      </w:r>
      <w:r>
        <w:rPr>
          <w:sz w:val="28"/>
        </w:rPr>
        <w:fldChar w:fldCharType="end"/>
      </w:r>
      <w:r>
        <w:rPr>
          <w:sz w:val="28"/>
        </w:rPr>
        <w:t xml:space="preserve"> и </w:t>
      </w:r>
      <w:r>
        <w:rPr>
          <w:sz w:val="28"/>
        </w:rPr>
        <w:fldChar w:fldCharType="begin"/>
      </w:r>
      <w:r>
        <w:rPr>
          <w:sz w:val="28"/>
        </w:rPr>
        <w:instrText>HYPERLINK \l "P84" \o "15.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w:instrText>
      </w:r>
      <w:r>
        <w:rPr>
          <w:sz w:val="28"/>
        </w:rPr>
        <w:fldChar w:fldCharType="separate"/>
      </w:r>
      <w:r>
        <w:rPr>
          <w:sz w:val="28"/>
        </w:rPr>
        <w:t>16</w:t>
      </w:r>
      <w:r>
        <w:rPr>
          <w:sz w:val="28"/>
        </w:rPr>
        <w:fldChar w:fldCharType="end"/>
      </w:r>
      <w:r>
        <w:rPr>
          <w:sz w:val="28"/>
        </w:rPr>
        <w:t xml:space="preserve">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 </w:t>
      </w:r>
    </w:p>
    <w:p w14:paraId="32000000">
      <w:pPr>
        <w:pStyle w:val="Style_2"/>
        <w:ind w:firstLine="709" w:left="0"/>
        <w:jc w:val="both"/>
        <w:rPr>
          <w:sz w:val="28"/>
        </w:rPr>
      </w:pPr>
      <w:r>
        <w:rPr>
          <w:sz w:val="28"/>
        </w:rPr>
        <w:t xml:space="preserve">18. В случае если подарок не выкуплен или не реализован, главой Туапсинского муниципального округа принимается решение о повторной реализации подарка, либо о его безвозмездной передаче на баланс </w:t>
      </w:r>
      <w:r>
        <w:rPr>
          <w:sz w:val="28"/>
        </w:rPr>
        <w:t>благотворительной организации, либо о его уничтожении в соответствии с законодательством Российской Федерации.</w:t>
      </w:r>
    </w:p>
    <w:p w14:paraId="33000000">
      <w:pPr>
        <w:pStyle w:val="Style_2"/>
        <w:ind w:firstLine="709" w:left="0"/>
        <w:jc w:val="both"/>
        <w:rPr>
          <w:sz w:val="28"/>
        </w:rPr>
      </w:pPr>
      <w:r>
        <w:rPr>
          <w:sz w:val="28"/>
        </w:rPr>
        <w:t>19. Средства, вырученные от реализации (выкупа) подарка, зачисляются в доход бюджета Туапсинского муниципального округа в порядке, установленном бюджетным законодательством Российской Федерации.</w:t>
      </w:r>
    </w:p>
    <w:p w14:paraId="34000000">
      <w:pPr>
        <w:pStyle w:val="Style_2"/>
        <w:ind w:firstLine="709" w:left="0"/>
        <w:jc w:val="both"/>
        <w:rPr>
          <w:sz w:val="28"/>
        </w:rPr>
      </w:pPr>
    </w:p>
    <w:p w14:paraId="35000000">
      <w:pPr>
        <w:pStyle w:val="Style_2"/>
        <w:ind/>
        <w:jc w:val="both"/>
        <w:rPr>
          <w:sz w:val="28"/>
        </w:rPr>
      </w:pPr>
    </w:p>
    <w:p w14:paraId="36000000">
      <w:pPr>
        <w:pStyle w:val="Style_2"/>
        <w:rPr>
          <w:sz w:val="28"/>
        </w:rPr>
      </w:pPr>
      <w:r>
        <w:rPr>
          <w:sz w:val="28"/>
        </w:rPr>
        <w:t xml:space="preserve">Начальник отдела кадров </w:t>
      </w:r>
    </w:p>
    <w:p w14:paraId="37000000">
      <w:pPr>
        <w:pStyle w:val="Style_2"/>
        <w:rPr>
          <w:sz w:val="28"/>
        </w:rPr>
      </w:pPr>
      <w:r>
        <w:rPr>
          <w:sz w:val="28"/>
        </w:rPr>
        <w:t>администрации Туапсинского</w:t>
      </w:r>
    </w:p>
    <w:p w14:paraId="38000000">
      <w:pPr>
        <w:pStyle w:val="Style_2"/>
        <w:rPr>
          <w:sz w:val="28"/>
        </w:rPr>
      </w:pPr>
      <w:r>
        <w:rPr>
          <w:sz w:val="28"/>
        </w:rPr>
        <w:t>муниципального округа</w:t>
      </w:r>
      <w:r>
        <w:rPr>
          <w:sz w:val="28"/>
        </w:rPr>
        <w:tab/>
      </w:r>
      <w:r>
        <w:rPr>
          <w:sz w:val="28"/>
        </w:rPr>
        <w:tab/>
      </w:r>
      <w:r>
        <w:rPr>
          <w:sz w:val="28"/>
        </w:rPr>
        <w:tab/>
      </w:r>
      <w:r>
        <w:rPr>
          <w:sz w:val="28"/>
        </w:rPr>
        <w:tab/>
      </w:r>
      <w:r>
        <w:rPr>
          <w:sz w:val="28"/>
        </w:rPr>
        <w:t xml:space="preserve"> </w:t>
      </w:r>
      <w:r>
        <w:rPr>
          <w:sz w:val="28"/>
        </w:rPr>
        <w:tab/>
      </w:r>
      <w:r>
        <w:rPr>
          <w:sz w:val="28"/>
        </w:rPr>
        <w:t xml:space="preserve">                    М.А. </w:t>
      </w:r>
      <w:r>
        <w:rPr>
          <w:sz w:val="28"/>
        </w:rPr>
        <w:t>Золотоверхова</w:t>
      </w:r>
    </w:p>
    <w:p w14:paraId="39000000">
      <w:pPr>
        <w:pStyle w:val="Style_2"/>
        <w:ind w:firstLine="540" w:left="0"/>
        <w:jc w:val="both"/>
        <w:rPr>
          <w:sz w:val="28"/>
        </w:rPr>
      </w:pPr>
    </w:p>
    <w:p w14:paraId="3A000000">
      <w:pPr>
        <w:pStyle w:val="Style_2"/>
        <w:ind w:firstLine="540" w:left="0"/>
        <w:jc w:val="both"/>
        <w:rPr>
          <w:sz w:val="28"/>
        </w:rPr>
      </w:pPr>
    </w:p>
    <w:p w14:paraId="3B000000">
      <w:pPr>
        <w:pStyle w:val="Style_2"/>
        <w:ind w:firstLine="540" w:left="0"/>
        <w:jc w:val="both"/>
        <w:rPr>
          <w:sz w:val="28"/>
        </w:rPr>
      </w:pPr>
    </w:p>
    <w:p w14:paraId="3C000000">
      <w:pPr>
        <w:pStyle w:val="Style_2"/>
        <w:ind w:firstLine="540" w:left="0"/>
        <w:jc w:val="both"/>
        <w:rPr>
          <w:sz w:val="28"/>
        </w:rPr>
      </w:pPr>
    </w:p>
    <w:p w14:paraId="3D000000">
      <w:pPr>
        <w:pStyle w:val="Style_2"/>
        <w:ind w:firstLine="540" w:left="0"/>
        <w:jc w:val="both"/>
        <w:rPr>
          <w:sz w:val="28"/>
        </w:rPr>
      </w:pPr>
    </w:p>
    <w:p w14:paraId="3E000000">
      <w:pPr>
        <w:pStyle w:val="Style_2"/>
        <w:ind w:firstLine="540" w:left="0"/>
        <w:jc w:val="both"/>
        <w:rPr>
          <w:sz w:val="28"/>
        </w:rPr>
      </w:pPr>
    </w:p>
    <w:p w14:paraId="3F000000">
      <w:pPr>
        <w:pStyle w:val="Style_2"/>
        <w:ind w:firstLine="0" w:left="4961"/>
        <w:outlineLvl w:val="1"/>
        <w:rPr>
          <w:sz w:val="28"/>
        </w:rPr>
      </w:pPr>
      <w:bookmarkStart w:id="9" w:name="P93"/>
      <w:bookmarkEnd w:id="9"/>
    </w:p>
    <w:sectPr>
      <w:headerReference r:id="rId1" w:type="default"/>
      <w:pgSz w:h="16848" w:orient="portrait" w:w="11908"/>
      <w:pgMar w:bottom="1134" w:footer="0" w:gutter="0" w:header="510" w:left="1701"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margin">
                <wp:align>center</wp:align>
              </wp:positionH>
              <wp:positionV relativeFrom="paragraph">
                <wp:posOffset>0</wp:posOffset>
              </wp:positionV>
              <wp:extent cx="1270000" cy="1270000"/>
              <wp:wrapSquare distB="0" distL="114300" distR="114300" distT="0" wrapText="bothSides"/>
              <wp:docPr hidden="false" id="1" name="Picture 1"/>
              <a:graphic>
                <a:graphicData uri="http://schemas.microsoft.com/office/word/2010/wordprocessingShape">
                  <wps:wsp>
                    <wps:cNvSpPr txBox="true"/>
                    <wps:spPr>
                      <a:xfrm flipH="false" flipV="false" rot="0">
                        <a:off x="0" y="0"/>
                        <a:ext cx="1270000" cy="1270000"/>
                      </a:xfrm>
                      <a:prstGeom prst="rect">
                        <a:avLst/>
                      </a:prstGeom>
                    </wps:spPr>
                    <wps:txbx>
                      <w:txbxContent>
                        <w:p w14:paraId="02000000">
                          <w:pPr>
                            <w:pStyle w:val="Style_2"/>
                            <w:ind/>
                            <w:jc w:val="center"/>
                            <w:rPr>
                              <w:color w:val="000000"/>
                              <w:spacing w:val="0"/>
                              <w:sz w:val="24"/>
                            </w:rPr>
                          </w:pPr>
                          <w:r>
                            <w:rPr>
                              <w:color w:val="000000"/>
                              <w:spacing w:val="0"/>
                              <w:sz w:val="24"/>
                            </w:rPr>
                            <w:fldChar w:fldCharType="begin"/>
                          </w:r>
                          <w:r>
                            <w:rPr>
                              <w:color w:val="000000"/>
                              <w:spacing w:val="0"/>
                              <w:sz w:val="24"/>
                            </w:rPr>
                            <w:instrText>PAGE \* Arabic</w:instrText>
                          </w:r>
                          <w:r>
                            <w:rPr>
                              <w:color w:val="000000"/>
                              <w:spacing w:val="0"/>
                              <w:sz w:val="24"/>
                            </w:rPr>
                            <w:fldChar w:fldCharType="separate"/>
                          </w:r>
                          <w:r>
                            <w:rPr>
                              <w:color w:val="000000"/>
                              <w:spacing w:val="0"/>
                              <w:sz w:val="24"/>
                            </w:rPr>
                            <w:t xml:space="preserve"> </w:t>
                          </w:r>
                          <w:r>
                            <w:rPr>
                              <w:color w:val="000000"/>
                              <w:spacing w:val="0"/>
                              <w:sz w:val="24"/>
                            </w:rPr>
                            <w:fldChar w:fldCharType="end"/>
                          </w:r>
                        </w:p>
                      </w:txbxContent>
                    </wps:txbx>
                    <wps:bodyPr anchor="ctr" anchorCtr="true" bIns="45720" lIns="91440" rIns="91440" tIns="45720" vert="horz" wrap="non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style>
  <w:style w:default="1" w:styleId="Style_4_ch" w:type="character">
    <w:name w:val="Normal"/>
    <w:link w:val="Style_4"/>
  </w:style>
  <w:style w:styleId="Style_5" w:type="paragraph">
    <w:name w:val="Гиперссылка1"/>
    <w:link w:val="Style_5_ch"/>
    <w:rPr>
      <w:color w:val="0000FF"/>
      <w:u w:val="single"/>
    </w:rPr>
  </w:style>
  <w:style w:styleId="Style_5_ch" w:type="character">
    <w:name w:val="Гиперссылка1"/>
    <w:link w:val="Style_5"/>
    <w:rPr>
      <w:color w:val="0000FF"/>
      <w:u w:val="single"/>
    </w:rPr>
  </w:style>
  <w:style w:styleId="Style_6" w:type="paragraph">
    <w:name w:val="ConsPlusJurTerm"/>
    <w:link w:val="Style_6_ch"/>
    <w:pPr>
      <w:widowControl w:val="0"/>
      <w:ind/>
    </w:pPr>
    <w:rPr>
      <w:rFonts w:ascii="Tahoma" w:hAnsi="Tahoma"/>
      <w:sz w:val="26"/>
    </w:rPr>
  </w:style>
  <w:style w:styleId="Style_6_ch" w:type="character">
    <w:name w:val="ConsPlusJurTerm"/>
    <w:link w:val="Style_6"/>
    <w:rPr>
      <w:rFonts w:ascii="Tahoma" w:hAnsi="Tahoma"/>
      <w:sz w:val="26"/>
    </w:rPr>
  </w:style>
  <w:style w:styleId="Style_7" w:type="paragraph">
    <w:name w:val="toc 2"/>
    <w:next w:val="Style_4"/>
    <w:link w:val="Style_7_ch"/>
    <w:uiPriority w:val="39"/>
    <w:pPr>
      <w:ind w:firstLine="0" w:left="200"/>
    </w:pPr>
    <w:rPr>
      <w:sz w:val="28"/>
    </w:rPr>
  </w:style>
  <w:style w:styleId="Style_7_ch" w:type="character">
    <w:name w:val="toc 2"/>
    <w:link w:val="Style_7"/>
    <w:rPr>
      <w:sz w:val="28"/>
    </w:rPr>
  </w:style>
  <w:style w:styleId="Style_8" w:type="paragraph">
    <w:name w:val="toc 4"/>
    <w:next w:val="Style_4"/>
    <w:link w:val="Style_8_ch"/>
    <w:uiPriority w:val="39"/>
    <w:pPr>
      <w:ind w:firstLine="0" w:left="600"/>
    </w:pPr>
    <w:rPr>
      <w:sz w:val="28"/>
    </w:rPr>
  </w:style>
  <w:style w:styleId="Style_8_ch" w:type="character">
    <w:name w:val="toc 4"/>
    <w:link w:val="Style_8"/>
    <w:rPr>
      <w:sz w:val="28"/>
    </w:rPr>
  </w:style>
  <w:style w:styleId="Style_9" w:type="paragraph">
    <w:name w:val="toc 6"/>
    <w:next w:val="Style_4"/>
    <w:link w:val="Style_9_ch"/>
    <w:uiPriority w:val="39"/>
    <w:pPr>
      <w:ind w:firstLine="0" w:left="1000"/>
    </w:pPr>
    <w:rPr>
      <w:sz w:val="28"/>
    </w:rPr>
  </w:style>
  <w:style w:styleId="Style_9_ch" w:type="character">
    <w:name w:val="toc 6"/>
    <w:link w:val="Style_9"/>
    <w:rPr>
      <w:sz w:val="28"/>
    </w:rPr>
  </w:style>
  <w:style w:styleId="Style_10" w:type="paragraph">
    <w:name w:val="toc 7"/>
    <w:next w:val="Style_4"/>
    <w:link w:val="Style_10_ch"/>
    <w:uiPriority w:val="39"/>
    <w:pPr>
      <w:ind w:firstLine="0" w:left="1200"/>
    </w:pPr>
    <w:rPr>
      <w:sz w:val="28"/>
    </w:rPr>
  </w:style>
  <w:style w:styleId="Style_10_ch" w:type="character">
    <w:name w:val="toc 7"/>
    <w:link w:val="Style_10"/>
    <w:rPr>
      <w:sz w:val="28"/>
    </w:rPr>
  </w:style>
  <w:style w:styleId="Style_11" w:type="paragraph">
    <w:name w:val="ConsPlusTitlePage"/>
    <w:link w:val="Style_11_ch"/>
    <w:pPr>
      <w:widowControl w:val="0"/>
      <w:ind/>
    </w:pPr>
    <w:rPr>
      <w:rFonts w:ascii="Tahoma" w:hAnsi="Tahoma"/>
      <w:sz w:val="20"/>
    </w:rPr>
  </w:style>
  <w:style w:styleId="Style_11_ch" w:type="character">
    <w:name w:val="ConsPlusTitlePage"/>
    <w:link w:val="Style_11"/>
    <w:rPr>
      <w:rFonts w:ascii="Tahoma" w:hAnsi="Tahoma"/>
      <w:sz w:val="20"/>
    </w:rPr>
  </w:style>
  <w:style w:styleId="Style_12" w:type="paragraph">
    <w:name w:val="Endnote"/>
    <w:link w:val="Style_12_ch"/>
    <w:pPr>
      <w:ind w:firstLine="851" w:left="0"/>
      <w:jc w:val="both"/>
    </w:pPr>
    <w:rPr>
      <w:sz w:val="22"/>
    </w:rPr>
  </w:style>
  <w:style w:styleId="Style_12_ch" w:type="character">
    <w:name w:val="Endnote"/>
    <w:link w:val="Style_12"/>
    <w:rPr>
      <w:sz w:val="22"/>
    </w:rPr>
  </w:style>
  <w:style w:styleId="Style_13" w:type="paragraph">
    <w:name w:val="heading 3"/>
    <w:next w:val="Style_4"/>
    <w:link w:val="Style_13_ch"/>
    <w:uiPriority w:val="9"/>
    <w:qFormat/>
    <w:pPr>
      <w:spacing w:after="120" w:before="120"/>
      <w:ind/>
      <w:jc w:val="both"/>
      <w:outlineLvl w:val="2"/>
    </w:pPr>
    <w:rPr>
      <w:b w:val="1"/>
      <w:sz w:val="26"/>
    </w:rPr>
  </w:style>
  <w:style w:styleId="Style_13_ch" w:type="character">
    <w:name w:val="heading 3"/>
    <w:link w:val="Style_13"/>
    <w:rPr>
      <w:b w:val="1"/>
      <w:sz w:val="26"/>
    </w:rPr>
  </w:style>
  <w:style w:styleId="Style_14" w:type="paragraph">
    <w:name w:val="ConsPlusDocList"/>
    <w:link w:val="Style_14_ch"/>
    <w:pPr>
      <w:widowControl w:val="0"/>
      <w:ind/>
    </w:pPr>
    <w:rPr>
      <w:rFonts w:ascii="Tahoma" w:hAnsi="Tahoma"/>
      <w:sz w:val="18"/>
    </w:rPr>
  </w:style>
  <w:style w:styleId="Style_14_ch" w:type="character">
    <w:name w:val="ConsPlusDocList"/>
    <w:link w:val="Style_14"/>
    <w:rPr>
      <w:rFonts w:ascii="Tahoma" w:hAnsi="Tahoma"/>
      <w:sz w:val="18"/>
    </w:rPr>
  </w:style>
  <w:style w:styleId="Style_15" w:type="paragraph">
    <w:name w:val="ConsPlusNonformat"/>
    <w:link w:val="Style_15_ch"/>
    <w:pPr>
      <w:widowControl w:val="0"/>
      <w:ind/>
    </w:pPr>
    <w:rPr>
      <w:rFonts w:ascii="Courier New" w:hAnsi="Courier New"/>
      <w:sz w:val="20"/>
    </w:rPr>
  </w:style>
  <w:style w:styleId="Style_15_ch" w:type="character">
    <w:name w:val="ConsPlusNonformat"/>
    <w:link w:val="Style_15"/>
    <w:rPr>
      <w:rFonts w:ascii="Courier New" w:hAnsi="Courier New"/>
      <w:sz w:val="20"/>
    </w:rPr>
  </w:style>
  <w:style w:styleId="Style_16" w:type="paragraph">
    <w:name w:val="ConsPlusTitlePage"/>
    <w:link w:val="Style_16_ch"/>
    <w:pPr>
      <w:widowControl w:val="0"/>
      <w:ind/>
    </w:pPr>
    <w:rPr>
      <w:rFonts w:ascii="Tahoma" w:hAnsi="Tahoma"/>
      <w:sz w:val="20"/>
    </w:rPr>
  </w:style>
  <w:style w:styleId="Style_16_ch" w:type="character">
    <w:name w:val="ConsPlusTitlePage"/>
    <w:link w:val="Style_16"/>
    <w:rPr>
      <w:rFonts w:ascii="Tahoma" w:hAnsi="Tahoma"/>
      <w:sz w:val="20"/>
    </w:rPr>
  </w:style>
  <w:style w:styleId="Style_17" w:type="paragraph">
    <w:name w:val="Default Paragraph Font"/>
    <w:link w:val="Style_17_ch"/>
  </w:style>
  <w:style w:styleId="Style_17_ch" w:type="character">
    <w:name w:val="Default Paragraph Font"/>
    <w:link w:val="Style_17"/>
  </w:style>
  <w:style w:styleId="Style_18" w:type="paragraph">
    <w:name w:val="ConsPlusCell"/>
    <w:link w:val="Style_18_ch"/>
    <w:pPr>
      <w:widowControl w:val="0"/>
      <w:ind/>
    </w:pPr>
    <w:rPr>
      <w:rFonts w:ascii="Courier New" w:hAnsi="Courier New"/>
      <w:sz w:val="20"/>
    </w:rPr>
  </w:style>
  <w:style w:styleId="Style_18_ch" w:type="character">
    <w:name w:val="ConsPlusCell"/>
    <w:link w:val="Style_18"/>
    <w:rPr>
      <w:rFonts w:ascii="Courier New" w:hAnsi="Courier New"/>
      <w:sz w:val="20"/>
    </w:rPr>
  </w:style>
  <w:style w:styleId="Style_19" w:type="paragraph">
    <w:name w:val="ConsPlusTitle"/>
    <w:link w:val="Style_19_ch"/>
    <w:pPr>
      <w:widowControl w:val="0"/>
      <w:ind/>
    </w:pPr>
    <w:rPr>
      <w:rFonts w:ascii="Arial" w:hAnsi="Arial"/>
      <w:b w:val="1"/>
    </w:rPr>
  </w:style>
  <w:style w:styleId="Style_19_ch" w:type="character">
    <w:name w:val="ConsPlusTitle"/>
    <w:link w:val="Style_19"/>
    <w:rPr>
      <w:rFonts w:ascii="Arial" w:hAnsi="Arial"/>
      <w:b w:val="1"/>
    </w:rPr>
  </w:style>
  <w:style w:styleId="Style_20" w:type="paragraph">
    <w:name w:val="toc 3"/>
    <w:next w:val="Style_4"/>
    <w:link w:val="Style_20_ch"/>
    <w:uiPriority w:val="39"/>
    <w:pPr>
      <w:ind w:firstLine="0" w:left="400"/>
    </w:pPr>
    <w:rPr>
      <w:sz w:val="28"/>
    </w:rPr>
  </w:style>
  <w:style w:styleId="Style_20_ch" w:type="character">
    <w:name w:val="toc 3"/>
    <w:link w:val="Style_20"/>
    <w:rPr>
      <w:sz w:val="28"/>
    </w:rPr>
  </w:style>
  <w:style w:styleId="Style_21" w:type="paragraph">
    <w:name w:val="Balloon Text"/>
    <w:basedOn w:val="Style_4"/>
    <w:link w:val="Style_21_ch"/>
    <w:rPr>
      <w:rFonts w:ascii="Segoe UI" w:hAnsi="Segoe UI"/>
      <w:sz w:val="18"/>
    </w:rPr>
  </w:style>
  <w:style w:styleId="Style_21_ch" w:type="character">
    <w:name w:val="Balloon Text"/>
    <w:basedOn w:val="Style_4_ch"/>
    <w:link w:val="Style_21"/>
    <w:rPr>
      <w:rFonts w:ascii="Segoe UI" w:hAnsi="Segoe UI"/>
      <w:sz w:val="18"/>
    </w:rPr>
  </w:style>
  <w:style w:styleId="Style_22" w:type="paragraph">
    <w:name w:val="heading 5"/>
    <w:next w:val="Style_4"/>
    <w:link w:val="Style_22_ch"/>
    <w:uiPriority w:val="9"/>
    <w:qFormat/>
    <w:pPr>
      <w:spacing w:after="120" w:before="120"/>
      <w:ind/>
      <w:jc w:val="both"/>
      <w:outlineLvl w:val="4"/>
    </w:pPr>
    <w:rPr>
      <w:b w:val="1"/>
      <w:sz w:val="22"/>
    </w:rPr>
  </w:style>
  <w:style w:styleId="Style_22_ch" w:type="character">
    <w:name w:val="heading 5"/>
    <w:link w:val="Style_22"/>
    <w:rPr>
      <w:b w:val="1"/>
      <w:sz w:val="22"/>
    </w:rPr>
  </w:style>
  <w:style w:styleId="Style_23" w:type="paragraph">
    <w:name w:val="heading 1"/>
    <w:next w:val="Style_4"/>
    <w:link w:val="Style_23_ch"/>
    <w:uiPriority w:val="9"/>
    <w:qFormat/>
    <w:pPr>
      <w:spacing w:after="120" w:before="120"/>
      <w:ind/>
      <w:jc w:val="both"/>
      <w:outlineLvl w:val="0"/>
    </w:pPr>
    <w:rPr>
      <w:b w:val="1"/>
      <w:sz w:val="32"/>
    </w:rPr>
  </w:style>
  <w:style w:styleId="Style_23_ch" w:type="character">
    <w:name w:val="heading 1"/>
    <w:link w:val="Style_23"/>
    <w:rPr>
      <w:b w:val="1"/>
      <w:sz w:val="32"/>
    </w:rPr>
  </w:style>
  <w:style w:styleId="Style_24" w:type="paragraph">
    <w:name w:val="Hyperlink"/>
    <w:link w:val="Style_24_ch"/>
    <w:rPr>
      <w:color w:val="0000FF"/>
      <w:u w:val="single"/>
    </w:rPr>
  </w:style>
  <w:style w:styleId="Style_24_ch" w:type="character">
    <w:name w:val="Hyperlink"/>
    <w:link w:val="Style_24"/>
    <w:rPr>
      <w:color w:val="0000FF"/>
      <w:u w:val="single"/>
    </w:rPr>
  </w:style>
  <w:style w:styleId="Style_25" w:type="paragraph">
    <w:name w:val="Footnote"/>
    <w:link w:val="Style_25_ch"/>
    <w:pPr>
      <w:ind w:firstLine="851" w:left="0"/>
      <w:jc w:val="both"/>
    </w:pPr>
    <w:rPr>
      <w:sz w:val="22"/>
    </w:rPr>
  </w:style>
  <w:style w:styleId="Style_25_ch" w:type="character">
    <w:name w:val="Footnote"/>
    <w:link w:val="Style_25"/>
    <w:rPr>
      <w:sz w:val="22"/>
    </w:rPr>
  </w:style>
  <w:style w:styleId="Style_26" w:type="paragraph">
    <w:name w:val="toc 1"/>
    <w:next w:val="Style_4"/>
    <w:link w:val="Style_26_ch"/>
    <w:uiPriority w:val="39"/>
    <w:rPr>
      <w:b w:val="1"/>
      <w:sz w:val="28"/>
    </w:rPr>
  </w:style>
  <w:style w:styleId="Style_26_ch" w:type="character">
    <w:name w:val="toc 1"/>
    <w:link w:val="Style_26"/>
    <w:rPr>
      <w:b w:val="1"/>
      <w:sz w:val="28"/>
    </w:rPr>
  </w:style>
  <w:style w:styleId="Style_27" w:type="paragraph">
    <w:name w:val="ConsPlusTextList"/>
    <w:link w:val="Style_27_ch"/>
    <w:pPr>
      <w:widowControl w:val="0"/>
      <w:ind/>
    </w:pPr>
    <w:rPr>
      <w:rFonts w:ascii="Times New Roman" w:hAnsi="Times New Roman"/>
    </w:rPr>
  </w:style>
  <w:style w:styleId="Style_27_ch" w:type="character">
    <w:name w:val="ConsPlusTextList"/>
    <w:link w:val="Style_27"/>
    <w:rPr>
      <w:rFonts w:ascii="Times New Roman" w:hAnsi="Times New Roman"/>
    </w:rPr>
  </w:style>
  <w:style w:styleId="Style_1" w:type="paragraph">
    <w:name w:val="Header and Footer"/>
    <w:link w:val="Style_1_ch"/>
    <w:pPr>
      <w:ind/>
      <w:jc w:val="both"/>
    </w:pPr>
    <w:rPr>
      <w:sz w:val="28"/>
    </w:rPr>
  </w:style>
  <w:style w:styleId="Style_1_ch" w:type="character">
    <w:name w:val="Header and Footer"/>
    <w:link w:val="Style_1"/>
    <w:rPr>
      <w:sz w:val="28"/>
    </w:rPr>
  </w:style>
  <w:style w:styleId="Style_28" w:type="paragraph">
    <w:name w:val="ConsPlusTextList"/>
    <w:link w:val="Style_28_ch"/>
    <w:pPr>
      <w:widowControl w:val="0"/>
      <w:ind/>
    </w:pPr>
    <w:rPr>
      <w:rFonts w:ascii="Times New Roman" w:hAnsi="Times New Roman"/>
    </w:rPr>
  </w:style>
  <w:style w:styleId="Style_28_ch" w:type="character">
    <w:name w:val="ConsPlusTextList"/>
    <w:link w:val="Style_28"/>
    <w:rPr>
      <w:rFonts w:ascii="Times New Roman" w:hAnsi="Times New Roman"/>
    </w:rPr>
  </w:style>
  <w:style w:styleId="Style_29" w:type="paragraph">
    <w:name w:val="toc 9"/>
    <w:next w:val="Style_4"/>
    <w:link w:val="Style_29_ch"/>
    <w:uiPriority w:val="39"/>
    <w:pPr>
      <w:ind w:firstLine="0" w:left="1600"/>
    </w:pPr>
    <w:rPr>
      <w:sz w:val="28"/>
    </w:rPr>
  </w:style>
  <w:style w:styleId="Style_29_ch" w:type="character">
    <w:name w:val="toc 9"/>
    <w:link w:val="Style_29"/>
    <w:rPr>
      <w:sz w:val="28"/>
    </w:rPr>
  </w:style>
  <w:style w:styleId="Style_30" w:type="paragraph">
    <w:name w:val="ConsPlusTextList"/>
    <w:link w:val="Style_30_ch"/>
    <w:pPr>
      <w:widowControl w:val="0"/>
      <w:ind/>
    </w:pPr>
    <w:rPr>
      <w:rFonts w:ascii="Times New Roman" w:hAnsi="Times New Roman"/>
    </w:rPr>
  </w:style>
  <w:style w:styleId="Style_30_ch" w:type="character">
    <w:name w:val="ConsPlusTextList"/>
    <w:link w:val="Style_30"/>
    <w:rPr>
      <w:rFonts w:ascii="Times New Roman" w:hAnsi="Times New Roman"/>
    </w:rPr>
  </w:style>
  <w:style w:styleId="Style_3" w:type="paragraph">
    <w:name w:val="ConsPlusTitle"/>
    <w:link w:val="Style_3_ch"/>
    <w:pPr>
      <w:widowControl w:val="0"/>
      <w:ind/>
    </w:pPr>
    <w:rPr>
      <w:rFonts w:ascii="Arial" w:hAnsi="Arial"/>
      <w:b w:val="1"/>
    </w:rPr>
  </w:style>
  <w:style w:styleId="Style_3_ch" w:type="character">
    <w:name w:val="ConsPlusTitle"/>
    <w:link w:val="Style_3"/>
    <w:rPr>
      <w:rFonts w:ascii="Arial" w:hAnsi="Arial"/>
      <w:b w:val="1"/>
    </w:rPr>
  </w:style>
  <w:style w:styleId="Style_31" w:type="paragraph">
    <w:name w:val="ConsPlusNonformat"/>
    <w:link w:val="Style_31_ch"/>
    <w:pPr>
      <w:widowControl w:val="0"/>
      <w:ind/>
    </w:pPr>
    <w:rPr>
      <w:rFonts w:ascii="Courier New" w:hAnsi="Courier New"/>
      <w:sz w:val="20"/>
    </w:rPr>
  </w:style>
  <w:style w:styleId="Style_31_ch" w:type="character">
    <w:name w:val="ConsPlusNonformat"/>
    <w:link w:val="Style_31"/>
    <w:rPr>
      <w:rFonts w:ascii="Courier New" w:hAnsi="Courier New"/>
      <w:sz w:val="20"/>
    </w:rPr>
  </w:style>
  <w:style w:styleId="Style_32" w:type="paragraph">
    <w:name w:val="toc 8"/>
    <w:next w:val="Style_4"/>
    <w:link w:val="Style_32_ch"/>
    <w:uiPriority w:val="39"/>
    <w:pPr>
      <w:ind w:firstLine="0" w:left="1400"/>
    </w:pPr>
    <w:rPr>
      <w:sz w:val="28"/>
    </w:rPr>
  </w:style>
  <w:style w:styleId="Style_32_ch" w:type="character">
    <w:name w:val="toc 8"/>
    <w:link w:val="Style_32"/>
    <w:rPr>
      <w:sz w:val="28"/>
    </w:rPr>
  </w:style>
  <w:style w:styleId="Style_33" w:type="paragraph">
    <w:name w:val="ConsPlusJurTerm"/>
    <w:link w:val="Style_33_ch"/>
    <w:pPr>
      <w:widowControl w:val="0"/>
      <w:ind/>
    </w:pPr>
    <w:rPr>
      <w:rFonts w:ascii="Tahoma" w:hAnsi="Tahoma"/>
      <w:sz w:val="26"/>
    </w:rPr>
  </w:style>
  <w:style w:styleId="Style_33_ch" w:type="character">
    <w:name w:val="ConsPlusJurTerm"/>
    <w:link w:val="Style_33"/>
    <w:rPr>
      <w:rFonts w:ascii="Tahoma" w:hAnsi="Tahoma"/>
      <w:sz w:val="26"/>
    </w:rPr>
  </w:style>
  <w:style w:styleId="Style_34" w:type="paragraph">
    <w:name w:val="Обычный1"/>
    <w:link w:val="Style_34_ch"/>
  </w:style>
  <w:style w:styleId="Style_34_ch" w:type="character">
    <w:name w:val="Обычный1"/>
    <w:link w:val="Style_34"/>
  </w:style>
  <w:style w:styleId="Style_2" w:type="paragraph">
    <w:name w:val="ConsPlusNormal"/>
    <w:link w:val="Style_2_ch"/>
    <w:pPr>
      <w:widowControl w:val="0"/>
      <w:ind/>
    </w:pPr>
    <w:rPr>
      <w:rFonts w:ascii="Times New Roman" w:hAnsi="Times New Roman"/>
    </w:rPr>
  </w:style>
  <w:style w:styleId="Style_2_ch" w:type="character">
    <w:name w:val="ConsPlusNormal"/>
    <w:link w:val="Style_2"/>
    <w:rPr>
      <w:rFonts w:ascii="Times New Roman" w:hAnsi="Times New Roman"/>
    </w:rPr>
  </w:style>
  <w:style w:styleId="Style_35" w:type="paragraph">
    <w:name w:val="ConsPlusTextList"/>
    <w:link w:val="Style_35_ch"/>
    <w:pPr>
      <w:widowControl w:val="0"/>
      <w:ind/>
    </w:pPr>
    <w:rPr>
      <w:rFonts w:ascii="Times New Roman" w:hAnsi="Times New Roman"/>
    </w:rPr>
  </w:style>
  <w:style w:styleId="Style_35_ch" w:type="character">
    <w:name w:val="ConsPlusTextList"/>
    <w:link w:val="Style_35"/>
    <w:rPr>
      <w:rFonts w:ascii="Times New Roman" w:hAnsi="Times New Roman"/>
    </w:rPr>
  </w:style>
  <w:style w:styleId="Style_36" w:type="paragraph">
    <w:name w:val="toc 5"/>
    <w:next w:val="Style_4"/>
    <w:link w:val="Style_36_ch"/>
    <w:uiPriority w:val="39"/>
    <w:pPr>
      <w:ind w:firstLine="0" w:left="800"/>
    </w:pPr>
    <w:rPr>
      <w:sz w:val="28"/>
    </w:rPr>
  </w:style>
  <w:style w:styleId="Style_36_ch" w:type="character">
    <w:name w:val="toc 5"/>
    <w:link w:val="Style_36"/>
    <w:rPr>
      <w:sz w:val="28"/>
    </w:rPr>
  </w:style>
  <w:style w:styleId="Style_37" w:type="paragraph">
    <w:name w:val="Subtitle"/>
    <w:next w:val="Style_4"/>
    <w:link w:val="Style_37_ch"/>
    <w:uiPriority w:val="11"/>
    <w:qFormat/>
    <w:pPr>
      <w:ind/>
      <w:jc w:val="both"/>
    </w:pPr>
    <w:rPr>
      <w:i w:val="1"/>
    </w:rPr>
  </w:style>
  <w:style w:styleId="Style_37_ch" w:type="character">
    <w:name w:val="Subtitle"/>
    <w:link w:val="Style_37"/>
    <w:rPr>
      <w:i w:val="1"/>
    </w:rPr>
  </w:style>
  <w:style w:styleId="Style_38" w:type="paragraph">
    <w:name w:val="Title"/>
    <w:next w:val="Style_4"/>
    <w:link w:val="Style_38_ch"/>
    <w:uiPriority w:val="10"/>
    <w:qFormat/>
    <w:pPr>
      <w:spacing w:after="567" w:before="567"/>
      <w:ind/>
      <w:jc w:val="center"/>
    </w:pPr>
    <w:rPr>
      <w:b w:val="1"/>
      <w:caps w:val="1"/>
      <w:sz w:val="40"/>
    </w:rPr>
  </w:style>
  <w:style w:styleId="Style_38_ch" w:type="character">
    <w:name w:val="Title"/>
    <w:link w:val="Style_38"/>
    <w:rPr>
      <w:b w:val="1"/>
      <w:caps w:val="1"/>
      <w:sz w:val="40"/>
    </w:rPr>
  </w:style>
  <w:style w:styleId="Style_39" w:type="paragraph">
    <w:name w:val="heading 4"/>
    <w:next w:val="Style_4"/>
    <w:link w:val="Style_39_ch"/>
    <w:uiPriority w:val="9"/>
    <w:qFormat/>
    <w:pPr>
      <w:spacing w:after="120" w:before="120"/>
      <w:ind/>
      <w:jc w:val="both"/>
      <w:outlineLvl w:val="3"/>
    </w:pPr>
    <w:rPr>
      <w:b w:val="1"/>
    </w:rPr>
  </w:style>
  <w:style w:styleId="Style_39_ch" w:type="character">
    <w:name w:val="heading 4"/>
    <w:link w:val="Style_39"/>
    <w:rPr>
      <w:b w:val="1"/>
    </w:rPr>
  </w:style>
  <w:style w:styleId="Style_40" w:type="paragraph">
    <w:name w:val="ConsPlusDocList"/>
    <w:link w:val="Style_40_ch"/>
    <w:pPr>
      <w:widowControl w:val="0"/>
      <w:ind/>
    </w:pPr>
    <w:rPr>
      <w:rFonts w:ascii="Tahoma" w:hAnsi="Tahoma"/>
      <w:sz w:val="18"/>
    </w:rPr>
  </w:style>
  <w:style w:styleId="Style_40_ch" w:type="character">
    <w:name w:val="ConsPlusDocList"/>
    <w:link w:val="Style_40"/>
    <w:rPr>
      <w:rFonts w:ascii="Tahoma" w:hAnsi="Tahoma"/>
      <w:sz w:val="18"/>
    </w:rPr>
  </w:style>
  <w:style w:styleId="Style_41" w:type="paragraph">
    <w:name w:val="heading 2"/>
    <w:next w:val="Style_4"/>
    <w:link w:val="Style_41_ch"/>
    <w:uiPriority w:val="9"/>
    <w:qFormat/>
    <w:pPr>
      <w:spacing w:after="120" w:before="120"/>
      <w:ind/>
      <w:jc w:val="both"/>
      <w:outlineLvl w:val="1"/>
    </w:pPr>
    <w:rPr>
      <w:b w:val="1"/>
      <w:sz w:val="28"/>
    </w:rPr>
  </w:style>
  <w:style w:styleId="Style_41_ch" w:type="character">
    <w:name w:val="heading 2"/>
    <w:link w:val="Style_41"/>
    <w:rPr>
      <w:b w:val="1"/>
      <w:sz w:val="28"/>
    </w:rPr>
  </w:style>
  <w:style w:styleId="Style_42" w:type="paragraph">
    <w:name w:val="ConsPlusCell"/>
    <w:link w:val="Style_42_ch"/>
    <w:pPr>
      <w:widowControl w:val="0"/>
      <w:ind/>
    </w:pPr>
    <w:rPr>
      <w:rFonts w:ascii="Courier New" w:hAnsi="Courier New"/>
      <w:sz w:val="20"/>
    </w:rPr>
  </w:style>
  <w:style w:styleId="Style_42_ch" w:type="character">
    <w:name w:val="ConsPlusCell"/>
    <w:link w:val="Style_42"/>
    <w:rPr>
      <w:rFonts w:ascii="Courier New" w:hAnsi="Courier New"/>
      <w:sz w:val="20"/>
    </w:rPr>
  </w:style>
  <w:style w:default="1" w:styleId="Style_4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2025-10-31T11:52:05Z</dcterms:modified>
</cp:coreProperties>
</file>