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677" w:val="center"/>
        </w:tabs>
        <w:ind w:firstLine="0" w:left="5244"/>
        <w:jc w:val="both"/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>Приложение 2</w:t>
      </w:r>
    </w:p>
    <w:p w14:paraId="05000000">
      <w:pPr>
        <w:tabs>
          <w:tab w:leader="none" w:pos="4677" w:val="center"/>
        </w:tabs>
        <w:ind w:firstLine="0" w:left="5244"/>
        <w:jc w:val="both"/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</w:pPr>
    </w:p>
    <w:p w14:paraId="06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7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t xml:space="preserve"> Совета</w:t>
      </w:r>
    </w:p>
    <w:p w14:paraId="08000000">
      <w:pPr>
        <w:spacing w:after="0" w:line="240" w:lineRule="auto"/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Т</w:t>
      </w:r>
      <w:r>
        <w:rPr>
          <w:rFonts w:ascii="Times New Roman" w:hAnsi="Times New Roman"/>
          <w:sz w:val="28"/>
        </w:rPr>
        <w:t>уапсинск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круг Краснодарского края</w:t>
      </w:r>
    </w:p>
    <w:p w14:paraId="09000000">
      <w:pPr>
        <w:spacing w:after="0" w:before="0"/>
        <w:ind w:firstLine="0" w:left="5244" w:right="0"/>
        <w:jc w:val="left"/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от 26.09.2025 </w:t>
      </w:r>
      <w:r>
        <w:rPr>
          <w:rFonts w:ascii="Times New Roman" w:hAnsi="Times New Roman"/>
          <w:sz w:val="28"/>
        </w:rPr>
        <w:t xml:space="preserve">  № 283</w:t>
      </w:r>
      <w:r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  <w:t> </w:t>
      </w:r>
    </w:p>
    <w:p w14:paraId="0A000000">
      <w:pPr>
        <w:widowControl w:val="0"/>
        <w:ind/>
        <w:jc w:val="both"/>
      </w:pPr>
    </w:p>
    <w:p w14:paraId="0B000000">
      <w:pPr>
        <w:widowControl w:val="0"/>
        <w:ind/>
        <w:jc w:val="center"/>
      </w:pPr>
    </w:p>
    <w:p w14:paraId="0C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F000000">
      <w:pPr>
        <w:widowControl w:val="0"/>
        <w:ind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о порядке принятия лицами, </w:t>
      </w:r>
      <w:r>
        <w:rPr>
          <w:rFonts w:ascii="Times New Roman" w:hAnsi="Times New Roman"/>
          <w:b w:val="1"/>
          <w:caps w:val="0"/>
          <w:sz w:val="28"/>
        </w:rPr>
        <w:t xml:space="preserve">замещающими должности </w:t>
      </w:r>
    </w:p>
    <w:p w14:paraId="10000000">
      <w:pPr>
        <w:widowControl w:val="0"/>
        <w:ind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муниципальной службы </w:t>
      </w:r>
      <w:r>
        <w:rPr>
          <w:rFonts w:ascii="Times New Roman" w:hAnsi="Times New Roman"/>
          <w:b w:val="1"/>
          <w:caps w:val="0"/>
          <w:sz w:val="28"/>
        </w:rPr>
        <w:t xml:space="preserve">Туапсинского </w:t>
      </w:r>
    </w:p>
    <w:p w14:paraId="11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>муниципального округа на постоянной основе</w:t>
      </w:r>
      <w:r>
        <w:rPr>
          <w:rFonts w:ascii="Times New Roman" w:hAnsi="Times New Roman"/>
          <w:b w:val="1"/>
          <w:caps w:val="0"/>
          <w:sz w:val="28"/>
        </w:rPr>
        <w:t xml:space="preserve">, </w:t>
      </w:r>
    </w:p>
    <w:p w14:paraId="12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почетных и специальных </w:t>
      </w:r>
      <w:r>
        <w:rPr>
          <w:rFonts w:ascii="Times New Roman" w:hAnsi="Times New Roman"/>
          <w:b w:val="1"/>
          <w:caps w:val="0"/>
          <w:sz w:val="28"/>
        </w:rPr>
        <w:t xml:space="preserve">званий, </w:t>
      </w:r>
      <w:r>
        <w:rPr>
          <w:rFonts w:ascii="Times New Roman" w:hAnsi="Times New Roman"/>
          <w:b w:val="1"/>
          <w:caps w:val="0"/>
          <w:sz w:val="28"/>
        </w:rPr>
        <w:t xml:space="preserve">наград и иных </w:t>
      </w:r>
    </w:p>
    <w:p w14:paraId="13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знаков отличия иностранных государств, </w:t>
      </w:r>
    </w:p>
    <w:p w14:paraId="14000000">
      <w:pPr>
        <w:widowControl w:val="0"/>
        <w:ind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международных организаций, политических партий, </w:t>
      </w:r>
    </w:p>
    <w:p w14:paraId="15000000">
      <w:pPr>
        <w:widowControl w:val="0"/>
        <w:ind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иных общественных объединений и других организаций </w:t>
      </w:r>
    </w:p>
    <w:p w14:paraId="16000000">
      <w:pPr>
        <w:widowControl w:val="0"/>
        <w:spacing w:before="0"/>
        <w:ind/>
      </w:pPr>
    </w:p>
    <w:p w14:paraId="17000000">
      <w:pPr>
        <w:widowControl w:val="0"/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Положением устанавливается порядок принятия с разрешения председателя Совета муниципального образования Туапсинский муниципальный округ Краснодарского края (далее – председатель Совета), лицами, замещающими муниципальные должности Туапсинского муниципального округа на постоянной основе,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 </w:t>
      </w:r>
    </w:p>
    <w:p w14:paraId="18000000">
      <w:pPr>
        <w:widowControl w:val="0"/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Разрешение председателя Совета обязаны получить следующие лица,  замещающие муниципальные должности Туапсинского муниципального округа на постоянной основе:</w:t>
      </w:r>
    </w:p>
    <w:p w14:paraId="19000000">
      <w:pPr>
        <w:ind w:firstLine="0" w:left="709"/>
      </w:pPr>
      <w:r>
        <w:rPr>
          <w:rFonts w:ascii="Times New Roman" w:hAnsi="Times New Roman"/>
          <w:sz w:val="28"/>
        </w:rPr>
        <w:t>глава Туапсинского муниципального округа;</w:t>
      </w:r>
    </w:p>
    <w:p w14:paraId="1A000000">
      <w:pPr>
        <w:ind w:firstLine="0" w:left="709"/>
      </w:pPr>
      <w:r>
        <w:rPr>
          <w:rFonts w:ascii="Times New Roman" w:hAnsi="Times New Roman"/>
          <w:sz w:val="28"/>
        </w:rPr>
        <w:t xml:space="preserve">председатель Контрольно-счетной палаты </w:t>
      </w:r>
      <w:r>
        <w:rPr>
          <w:rFonts w:ascii="Times New Roman" w:hAnsi="Times New Roman"/>
          <w:sz w:val="28"/>
        </w:rPr>
        <w:t>Туапсинского муниципального округа;</w:t>
      </w:r>
    </w:p>
    <w:p w14:paraId="1B000000">
      <w:pPr>
        <w:ind w:firstLine="0" w:left="709"/>
      </w:pPr>
      <w:r>
        <w:t xml:space="preserve">аудитор </w:t>
      </w:r>
      <w:r>
        <w:rPr>
          <w:rFonts w:ascii="Times New Roman" w:hAnsi="Times New Roman"/>
          <w:sz w:val="28"/>
        </w:rPr>
        <w:t xml:space="preserve">Контрольно-счетной палаты </w:t>
      </w:r>
      <w:r>
        <w:rPr>
          <w:rFonts w:ascii="Times New Roman" w:hAnsi="Times New Roman"/>
          <w:sz w:val="28"/>
        </w:rPr>
        <w:t>Туапсинского муниципального округа.</w:t>
      </w:r>
    </w:p>
    <w:p w14:paraId="1C000000">
      <w:pPr>
        <w:widowControl w:val="0"/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Должностное лицо из числа лиц, указанных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пункте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Положения (далее – должностное лицо, получивший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отдел кадров администрации Туапсинского муниципального округа (далее - отдел кадров), </w:t>
      </w:r>
      <w:r>
        <w:rPr>
          <w:rFonts w:ascii="Times New Roman" w:hAnsi="Times New Roman"/>
          <w:color w:val="000000"/>
          <w:sz w:val="28"/>
        </w:rPr>
        <w:t>ходатайство</w:t>
      </w:r>
      <w:r>
        <w:rPr>
          <w:rFonts w:ascii="Times New Roman" w:hAnsi="Times New Roman"/>
          <w:sz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1 к настоящему Положению.</w:t>
      </w:r>
    </w:p>
    <w:p w14:paraId="1D000000">
      <w:pPr>
        <w:widowControl w:val="0"/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Должностное лицо, отказавшееся от звания, награды, в течение трех рабочих дней представляет в отдел кадров </w:t>
      </w:r>
      <w:r>
        <w:rPr>
          <w:rFonts w:ascii="Times New Roman" w:hAnsi="Times New Roman"/>
          <w:color w:val="000000"/>
          <w:sz w:val="28"/>
        </w:rPr>
        <w:t>уведомление</w:t>
      </w:r>
      <w:r>
        <w:rPr>
          <w:rFonts w:ascii="Times New Roman" w:hAnsi="Times New Roman"/>
          <w:sz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2 к настоящему Положению. </w:t>
      </w:r>
    </w:p>
    <w:p w14:paraId="1E000000">
      <w:pPr>
        <w:widowControl w:val="0"/>
        <w:numPr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кадров в течение пяти рабочих дней регистрирует поступившее ходатайство (уведомление) и представляет его председателю Совета для рассмотрения. </w:t>
      </w:r>
    </w:p>
    <w:p w14:paraId="1F000000">
      <w:pPr>
        <w:numPr>
          <w:numId w:val="1"/>
        </w:numPr>
        <w:ind w:firstLine="709" w:left="0"/>
      </w:pPr>
      <w:r>
        <w:rPr>
          <w:rFonts w:ascii="Times New Roman" w:hAnsi="Times New Roman"/>
          <w:sz w:val="28"/>
        </w:rPr>
        <w:t>Должностное лицо</w:t>
      </w:r>
      <w:r>
        <w:rPr>
          <w:rFonts w:ascii="Times New Roman" w:hAnsi="Times New Roman"/>
          <w:sz w:val="28"/>
        </w:rPr>
        <w:t xml:space="preserve">, получившее звание, награду до принятия председателем Совета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отдел кадров в течение трех рабочих дней со дня их получения по акту приема-передачи. </w:t>
      </w:r>
    </w:p>
    <w:p w14:paraId="20000000">
      <w:pPr>
        <w:widowControl w:val="0"/>
        <w:numPr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>В случае если во время служебной командировки д</w:t>
      </w:r>
      <w:r>
        <w:rPr>
          <w:rFonts w:ascii="Times New Roman" w:hAnsi="Times New Roman"/>
          <w:sz w:val="28"/>
        </w:rPr>
        <w:t xml:space="preserve">олжностное лицо </w:t>
      </w:r>
      <w:r>
        <w:rPr>
          <w:rFonts w:ascii="Times New Roman" w:hAnsi="Times New Roman"/>
          <w:sz w:val="28"/>
        </w:rPr>
        <w:t xml:space="preserve">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 </w:t>
      </w:r>
    </w:p>
    <w:p w14:paraId="21000000">
      <w:pPr>
        <w:widowControl w:val="0"/>
        <w:numPr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 xml:space="preserve">В случае если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олжностное лицо </w:t>
      </w:r>
      <w:r>
        <w:rPr>
          <w:rFonts w:ascii="Times New Roman" w:hAnsi="Times New Roman"/>
          <w:sz w:val="28"/>
        </w:rPr>
        <w:t xml:space="preserve">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r>
        <w:rPr>
          <w:rFonts w:ascii="Times New Roman" w:hAnsi="Times New Roman"/>
          <w:color w:val="000000"/>
          <w:sz w:val="28"/>
        </w:rPr>
        <w:t>пунктах 3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sz w:val="28"/>
        </w:rPr>
        <w:t xml:space="preserve"> настоящего Положения, он обязан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 </w:t>
      </w:r>
    </w:p>
    <w:p w14:paraId="22000000">
      <w:pPr>
        <w:widowControl w:val="0"/>
        <w:numPr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 xml:space="preserve">Обеспечение рассмотрения председателем Совета ходатайств, информирование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олжностного лица,</w:t>
      </w:r>
      <w:r>
        <w:rPr>
          <w:rFonts w:ascii="Times New Roman" w:hAnsi="Times New Roman"/>
          <w:sz w:val="28"/>
        </w:rPr>
        <w:t xml:space="preserve"> представившего ходатайство, о решении, принятом председателем Совета по результатам его рассмотрения, а также учет уведомлений осуществляются отделом кадров.</w:t>
      </w:r>
    </w:p>
    <w:p w14:paraId="23000000">
      <w:pPr>
        <w:widowControl w:val="0"/>
        <w:numPr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 xml:space="preserve">В случае удовлетворения </w:t>
      </w:r>
      <w:r>
        <w:rPr>
          <w:rFonts w:ascii="Times New Roman" w:hAnsi="Times New Roman"/>
          <w:sz w:val="28"/>
        </w:rPr>
        <w:t>председателем Совета</w:t>
      </w:r>
      <w:r>
        <w:rPr>
          <w:rFonts w:ascii="Times New Roman" w:hAnsi="Times New Roman"/>
          <w:sz w:val="28"/>
        </w:rPr>
        <w:t xml:space="preserve"> ходатайства должностного лица, отдел кадров в течение десяти рабочих дней со дня принятия </w:t>
      </w:r>
      <w:r>
        <w:rPr>
          <w:rFonts w:ascii="Times New Roman" w:hAnsi="Times New Roman"/>
          <w:sz w:val="28"/>
        </w:rPr>
        <w:t xml:space="preserve">председателем Совета </w:t>
      </w:r>
      <w:r>
        <w:rPr>
          <w:rFonts w:ascii="Times New Roman" w:hAnsi="Times New Roman"/>
          <w:sz w:val="28"/>
        </w:rPr>
        <w:t>соответствующего решения передает такому должностному лицу оригиналы документов к званию, награду и оригиналы документов к ней.</w:t>
      </w:r>
    </w:p>
    <w:p w14:paraId="24000000">
      <w:pPr>
        <w:widowControl w:val="0"/>
        <w:numPr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 xml:space="preserve">В случае отказа </w:t>
      </w:r>
      <w:r>
        <w:rPr>
          <w:rFonts w:ascii="Times New Roman" w:hAnsi="Times New Roman"/>
          <w:sz w:val="28"/>
        </w:rPr>
        <w:t>председателя Совета</w:t>
      </w:r>
      <w:r>
        <w:rPr>
          <w:rFonts w:ascii="Times New Roman" w:hAnsi="Times New Roman"/>
          <w:sz w:val="28"/>
        </w:rPr>
        <w:t xml:space="preserve"> в удовлетворении ходатайства должностного лица отдел кадров в течение десяти рабочих дней со дня принятия </w:t>
      </w:r>
      <w:r>
        <w:rPr>
          <w:rFonts w:ascii="Times New Roman" w:hAnsi="Times New Roman"/>
          <w:sz w:val="28"/>
        </w:rPr>
        <w:t>председателем Совета</w:t>
      </w:r>
      <w:r>
        <w:rPr>
          <w:rFonts w:ascii="Times New Roman" w:hAnsi="Times New Roman"/>
          <w:sz w:val="28"/>
        </w:rPr>
        <w:t xml:space="preserve"> соответствующего решения сообщает такому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14:paraId="2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2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1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6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47000000">
      <w:pPr>
        <w:widowControl w:val="0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48" w:orient="portrait" w:w="11908"/>
      <w:pgMar w:bottom="1134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2025-09-26T09:01:51Z</dcterms:modified>
</cp:coreProperties>
</file>