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jc w:val="right"/>
        <w:tblLayout w:type="fixed"/>
      </w:tblPr>
      <w:tblGrid>
        <w:gridCol w:w="4926"/>
      </w:tblGrid>
      <w:tr>
        <w:tc>
          <w:tcPr>
            <w:tcW w:type="dxa" w:w="4926"/>
            <w:shd w:fill="auto" w:val="clear"/>
            <w:vAlign w:val="center"/>
          </w:tcPr>
          <w:p w14:paraId="08000000">
            <w:pPr>
              <w:ind/>
              <w:contextualSpacing w:val="1"/>
              <w:rPr>
                <w:sz w:val="28"/>
              </w:rPr>
            </w:pPr>
            <w:r>
              <w:rPr>
                <w:sz w:val="28"/>
              </w:rPr>
              <w:t>Приложение 3</w:t>
            </w:r>
          </w:p>
          <w:p w14:paraId="09000000">
            <w:pPr>
              <w:ind w:right="-1"/>
              <w:contextualSpacing w:val="1"/>
              <w:rPr>
                <w:sz w:val="28"/>
              </w:rPr>
            </w:pPr>
            <w:r>
              <w:rPr>
                <w:sz w:val="28"/>
              </w:rPr>
              <w:t>к Положению о муниципальном контроле на автомобильном транспорте, городском наземном электрическом транспорте и в дорожном хозяйстве территорий местного значения на территории Туапсинского муниципального округа</w:t>
            </w:r>
          </w:p>
        </w:tc>
      </w:tr>
    </w:tbl>
    <w:p w14:paraId="0A000000">
      <w:pPr>
        <w:ind w:firstLine="0" w:left="4535"/>
        <w:contextualSpacing w:val="1"/>
        <w:jc w:val="both"/>
        <w:rPr>
          <w:color w:val="000000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КЛЮЧЕВЫЕ ПОКАЗАТЕЛИ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вида контроля и их целевые значения, индикативные показатели 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для муниципального контроля на автомобильном транспорте, </w:t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городском наземном электрическом транспорте и</w:t>
      </w:r>
      <w:r>
        <w:rPr>
          <w:b w:val="1"/>
          <w:sz w:val="28"/>
        </w:rPr>
        <w:t xml:space="preserve"> 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 дорожном хозяйстве территорий местного значения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на территории Туапсинского муниципального округа</w:t>
      </w: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pStyle w:val="Style_4"/>
        <w:numPr>
          <w:ilvl w:val="0"/>
          <w:numId w:val="1"/>
        </w:numPr>
        <w:ind/>
        <w:jc w:val="center"/>
        <w:rPr>
          <w:sz w:val="28"/>
        </w:rPr>
      </w:pPr>
      <w:r>
        <w:rPr>
          <w:sz w:val="28"/>
        </w:rPr>
        <w:t>Ключевые показатели</w:t>
      </w:r>
    </w:p>
    <w:p w14:paraId="13000000">
      <w:pPr>
        <w:ind/>
        <w:jc w:val="center"/>
        <w:rPr>
          <w:sz w:val="28"/>
        </w:rPr>
      </w:pPr>
    </w:p>
    <w:tbl>
      <w:tblPr>
        <w:tblStyle w:val="Style_5"/>
        <w:tblW w:type="auto" w:w="0"/>
        <w:tblLayout w:type="fixed"/>
      </w:tblPr>
      <w:tblGrid>
        <w:gridCol w:w="7792"/>
        <w:gridCol w:w="1984"/>
      </w:tblGrid>
      <w:tr>
        <w:tc>
          <w:tcPr>
            <w:tcW w:type="dxa" w:w="7792"/>
          </w:tcPr>
          <w:p w14:paraId="1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Ключевые показатели</w:t>
            </w:r>
          </w:p>
        </w:tc>
        <w:tc>
          <w:tcPr>
            <w:tcW w:type="dxa" w:w="1984"/>
          </w:tcPr>
          <w:p w14:paraId="1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Целевые значения</w:t>
            </w:r>
          </w:p>
        </w:tc>
      </w:tr>
      <w:tr>
        <w:tc>
          <w:tcPr>
            <w:tcW w:type="dxa" w:w="7792"/>
          </w:tcPr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984"/>
          </w:tcPr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7792"/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Процент устранённых нарушений из числа выявленных нарушений законодательства в данной сфере</w:t>
            </w:r>
          </w:p>
        </w:tc>
        <w:tc>
          <w:tcPr>
            <w:tcW w:type="dxa" w:w="1984"/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70%</w:t>
            </w:r>
          </w:p>
        </w:tc>
      </w:tr>
      <w:tr>
        <w:tc>
          <w:tcPr>
            <w:tcW w:type="dxa" w:w="7792"/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type="dxa" w:w="1984"/>
          </w:tcPr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>
        <w:tc>
          <w:tcPr>
            <w:tcW w:type="dxa" w:w="7792"/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Процент обоснованных жалоб на действия (бездействие) органа муниципального контроля на автомобильном транспорте, городском наземном электрическом транспорте и в дорожном хозяйстве, (или) его должностного лица при проведении контрольных мероприятий</w:t>
            </w:r>
          </w:p>
        </w:tc>
        <w:tc>
          <w:tcPr>
            <w:tcW w:type="dxa" w:w="1984"/>
          </w:tcPr>
          <w:p w14:paraId="1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0%</w:t>
            </w:r>
          </w:p>
        </w:tc>
      </w:tr>
      <w:tr>
        <w:tc>
          <w:tcPr>
            <w:tcW w:type="dxa" w:w="7792"/>
          </w:tcPr>
          <w:p w14:paraId="1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Процент отменённых результатов контрольных мероприятий</w:t>
            </w:r>
          </w:p>
        </w:tc>
        <w:tc>
          <w:tcPr>
            <w:tcW w:type="dxa" w:w="1984"/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0%</w:t>
            </w:r>
          </w:p>
        </w:tc>
      </w:tr>
      <w:tr>
        <w:tc>
          <w:tcPr>
            <w:tcW w:type="dxa" w:w="7792"/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type="dxa" w:w="1984"/>
          </w:tcPr>
          <w:p w14:paraId="2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5%</w:t>
            </w:r>
          </w:p>
        </w:tc>
      </w:tr>
    </w:tbl>
    <w:p w14:paraId="22000000">
      <w:pPr>
        <w:ind/>
        <w:jc w:val="both"/>
        <w:rPr>
          <w:sz w:val="28"/>
        </w:rPr>
      </w:pPr>
    </w:p>
    <w:p w14:paraId="23000000">
      <w:pPr>
        <w:pStyle w:val="Style_4"/>
        <w:numPr>
          <w:ilvl w:val="0"/>
          <w:numId w:val="1"/>
        </w:numPr>
        <w:ind/>
        <w:jc w:val="center"/>
        <w:rPr>
          <w:sz w:val="28"/>
        </w:rPr>
      </w:pPr>
      <w:r>
        <w:rPr>
          <w:sz w:val="28"/>
        </w:rPr>
        <w:t>Индикативные показатели</w:t>
      </w:r>
    </w:p>
    <w:p w14:paraId="24000000">
      <w:pPr>
        <w:ind/>
        <w:jc w:val="center"/>
        <w:rPr>
          <w:sz w:val="28"/>
        </w:rPr>
      </w:pPr>
    </w:p>
    <w:tbl>
      <w:tblPr>
        <w:tblStyle w:val="Style_5"/>
        <w:tblW w:type="auto" w:w="0"/>
        <w:tblLayout w:type="fixed"/>
      </w:tblPr>
      <w:tblGrid>
        <w:gridCol w:w="846"/>
        <w:gridCol w:w="2370"/>
        <w:gridCol w:w="1205"/>
        <w:gridCol w:w="2237"/>
        <w:gridCol w:w="1134"/>
        <w:gridCol w:w="1984"/>
      </w:tblGrid>
      <w:tr>
        <w:tc>
          <w:tcPr>
            <w:tcW w:type="dxa" w:w="846"/>
          </w:tcPr>
          <w:p w14:paraId="25000000">
            <w:pPr>
              <w:ind/>
              <w:jc w:val="center"/>
            </w:pPr>
            <w:r>
              <w:t>Номер</w:t>
            </w:r>
          </w:p>
          <w:p w14:paraId="26000000">
            <w:pPr>
              <w:ind/>
              <w:jc w:val="center"/>
            </w:pPr>
            <w:r>
              <w:t>(индекс)</w:t>
            </w:r>
          </w:p>
          <w:p w14:paraId="27000000">
            <w:pPr>
              <w:ind/>
              <w:jc w:val="center"/>
            </w:pPr>
            <w:r>
              <w:t>показателя</w:t>
            </w:r>
          </w:p>
        </w:tc>
        <w:tc>
          <w:tcPr>
            <w:tcW w:type="dxa" w:w="2370"/>
          </w:tcPr>
          <w:p w14:paraId="28000000">
            <w:pPr>
              <w:ind/>
              <w:jc w:val="center"/>
            </w:pPr>
            <w:r>
              <w:t>Наименование показателя</w:t>
            </w:r>
          </w:p>
        </w:tc>
        <w:tc>
          <w:tcPr>
            <w:tcW w:type="dxa" w:w="1205"/>
          </w:tcPr>
          <w:p w14:paraId="29000000">
            <w:pPr>
              <w:ind/>
              <w:jc w:val="center"/>
            </w:pPr>
            <w:r>
              <w:t>Формула расчета</w:t>
            </w:r>
          </w:p>
        </w:tc>
        <w:tc>
          <w:tcPr>
            <w:tcW w:type="dxa" w:w="2237"/>
          </w:tcPr>
          <w:p w14:paraId="2A000000">
            <w:pPr>
              <w:ind/>
              <w:jc w:val="center"/>
            </w:pPr>
            <w:r>
              <w:t>Комментарии (интерпретация значений)</w:t>
            </w:r>
          </w:p>
        </w:tc>
        <w:tc>
          <w:tcPr>
            <w:tcW w:type="dxa" w:w="1134"/>
          </w:tcPr>
          <w:p w14:paraId="2B000000">
            <w:pPr>
              <w:ind/>
              <w:jc w:val="center"/>
            </w:pPr>
            <w:r>
              <w:t>Целевое значение показателя</w:t>
            </w:r>
          </w:p>
        </w:tc>
        <w:tc>
          <w:tcPr>
            <w:tcW w:type="dxa" w:w="1984"/>
          </w:tcPr>
          <w:p w14:paraId="2C000000">
            <w:pPr>
              <w:ind/>
              <w:jc w:val="center"/>
            </w:pPr>
            <w:r>
              <w:t>Источник данных для определения значений показателя</w:t>
            </w:r>
          </w:p>
        </w:tc>
      </w:tr>
      <w:tr>
        <w:tc>
          <w:tcPr>
            <w:tcW w:type="dxa" w:w="846"/>
          </w:tcPr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370"/>
          </w:tcPr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05"/>
          </w:tcPr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237"/>
          </w:tcPr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134"/>
          </w:tcPr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984"/>
          </w:tcPr>
          <w:p w14:paraId="3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846"/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930"/>
            <w:gridSpan w:val="5"/>
          </w:tcPr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Индикативные показатели, характеризующие параметры проведенных мероприятий</w:t>
            </w:r>
          </w:p>
        </w:tc>
      </w:tr>
      <w:tr>
        <w:tc>
          <w:tcPr>
            <w:tcW w:type="dxa" w:w="846"/>
          </w:tcPr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370"/>
          </w:tcPr>
          <w:p w14:paraId="36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1205"/>
          </w:tcPr>
          <w:p w14:paraId="3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2237"/>
          </w:tcPr>
          <w:p w14:paraId="38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1134"/>
          </w:tcPr>
          <w:p w14:paraId="3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1984"/>
          </w:tcPr>
          <w:p w14:paraId="3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>
        <w:tc>
          <w:tcPr>
            <w:tcW w:type="dxa" w:w="846"/>
          </w:tcPr>
          <w:p w14:paraId="3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type="dxa" w:w="2370"/>
          </w:tcPr>
          <w:p w14:paraId="3C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Выполняемость внеплановых </w:t>
            </w:r>
            <w:r>
              <w:rPr>
                <w:color w:val="000000"/>
              </w:rPr>
              <w:t>контрольных мероприятий</w:t>
            </w:r>
          </w:p>
        </w:tc>
        <w:tc>
          <w:tcPr>
            <w:tcW w:type="dxa" w:w="1205"/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>Ввн</w:t>
            </w:r>
            <w:r>
              <w:rPr>
                <w:color w:val="000000"/>
              </w:rPr>
              <w:t xml:space="preserve"> = (</w:t>
            </w:r>
            <w:r>
              <w:rPr>
                <w:color w:val="000000"/>
              </w:rPr>
              <w:t>Рф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Рп</w:t>
            </w:r>
            <w:r>
              <w:rPr>
                <w:color w:val="000000"/>
              </w:rPr>
              <w:t>) x 100</w:t>
            </w:r>
          </w:p>
        </w:tc>
        <w:tc>
          <w:tcPr>
            <w:tcW w:type="dxa" w:w="2237"/>
          </w:tcPr>
          <w:p w14:paraId="3E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Ввн</w:t>
            </w:r>
            <w:r>
              <w:rPr>
                <w:color w:val="000000"/>
              </w:rPr>
              <w:t xml:space="preserve"> - выполняемость внеплановых </w:t>
            </w:r>
            <w:r>
              <w:rPr>
                <w:color w:val="000000"/>
              </w:rPr>
              <w:t>контрольных мероприятий</w:t>
            </w:r>
            <w:r>
              <w:rPr>
                <w:color w:val="000000"/>
              </w:rPr>
              <w:t>;</w:t>
            </w:r>
          </w:p>
          <w:p w14:paraId="3F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  <w:r>
              <w:rPr>
                <w:color w:val="000000"/>
              </w:rPr>
              <w:t xml:space="preserve"> - количество, </w:t>
            </w:r>
            <w:r>
              <w:rPr>
                <w:color w:val="000000"/>
              </w:rPr>
              <w:t xml:space="preserve">проведённых внеплановых </w:t>
            </w:r>
            <w:r>
              <w:rPr>
                <w:color w:val="000000"/>
              </w:rPr>
              <w:t>контрольных мероприятий</w:t>
            </w:r>
            <w:r>
              <w:rPr>
                <w:color w:val="000000"/>
              </w:rPr>
              <w:t xml:space="preserve"> (ед.)</w:t>
            </w:r>
            <w:r>
              <w:rPr>
                <w:color w:val="000000"/>
              </w:rPr>
              <w:t>;</w:t>
            </w:r>
          </w:p>
          <w:p w14:paraId="40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>Рп</w:t>
            </w:r>
            <w:r>
              <w:rPr>
                <w:color w:val="000000"/>
              </w:rPr>
              <w:t xml:space="preserve"> - количество распоряжений на проведение внеплановых </w:t>
            </w:r>
            <w:r>
              <w:rPr>
                <w:color w:val="000000"/>
              </w:rPr>
              <w:t>контрольных мероприятий</w:t>
            </w:r>
            <w:r>
              <w:rPr>
                <w:color w:val="000000"/>
              </w:rPr>
              <w:t xml:space="preserve"> (ед.)</w:t>
            </w:r>
          </w:p>
        </w:tc>
        <w:tc>
          <w:tcPr>
            <w:tcW w:type="dxa" w:w="1134"/>
          </w:tcPr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type="dxa" w:w="1984"/>
          </w:tcPr>
          <w:p w14:paraId="42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 xml:space="preserve">письма и жалобы, поступившие в администрацию </w:t>
            </w:r>
            <w:r>
              <w:rPr>
                <w:color w:val="000000"/>
              </w:rPr>
              <w:t>Туапсинского муниципального округа</w:t>
            </w:r>
          </w:p>
        </w:tc>
      </w:tr>
      <w:tr>
        <w:tc>
          <w:tcPr>
            <w:tcW w:type="dxa" w:w="846"/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type="dxa" w:w="2370"/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 xml:space="preserve">Доля </w:t>
            </w:r>
            <w:r>
              <w:rPr>
                <w:color w:val="000000"/>
              </w:rPr>
              <w:t>контрольных мероприятий</w:t>
            </w:r>
            <w:r>
              <w:rPr>
                <w:color w:val="000000"/>
              </w:rPr>
              <w:t>, на результаты которых поданы жалобы</w:t>
            </w:r>
          </w:p>
        </w:tc>
        <w:tc>
          <w:tcPr>
            <w:tcW w:type="dxa" w:w="1205"/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 xml:space="preserve">Ж x 100 / </w:t>
            </w:r>
            <w:r>
              <w:rPr>
                <w:color w:val="000000"/>
              </w:rPr>
              <w:t>Пф</w:t>
            </w:r>
          </w:p>
        </w:tc>
        <w:tc>
          <w:tcPr>
            <w:tcW w:type="dxa" w:w="2237"/>
          </w:tcPr>
          <w:p w14:paraId="46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Ж - количество жалоб (ед.)</w:t>
            </w:r>
            <w:r>
              <w:rPr>
                <w:color w:val="000000"/>
              </w:rPr>
              <w:t>;</w:t>
            </w:r>
          </w:p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>Пф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 количество, проведё</w:t>
            </w:r>
            <w:r>
              <w:rPr>
                <w:color w:val="000000"/>
              </w:rPr>
              <w:t xml:space="preserve">нных </w:t>
            </w:r>
            <w:r>
              <w:rPr>
                <w:color w:val="000000"/>
              </w:rPr>
              <w:t>контрольных мероприятий</w:t>
            </w:r>
          </w:p>
        </w:tc>
        <w:tc>
          <w:tcPr>
            <w:tcW w:type="dxa" w:w="1134"/>
          </w:tcPr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0%</w:t>
            </w:r>
          </w:p>
        </w:tc>
        <w:tc>
          <w:tcPr>
            <w:tcW w:type="dxa" w:w="1984"/>
          </w:tcPr>
          <w:p w14:paraId="49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846"/>
          </w:tcPr>
          <w:p w14:paraId="4A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</w:p>
        </w:tc>
        <w:tc>
          <w:tcPr>
            <w:tcW w:type="dxa" w:w="2370"/>
          </w:tcPr>
          <w:p w14:paraId="4B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Доля </w:t>
            </w:r>
            <w:r>
              <w:rPr>
                <w:color w:val="000000"/>
              </w:rPr>
              <w:t>контрольных мероприятий</w:t>
            </w:r>
            <w:r>
              <w:rPr>
                <w:color w:val="000000"/>
              </w:rPr>
              <w:t>, результаты которых были признаны недействительными</w:t>
            </w:r>
          </w:p>
        </w:tc>
        <w:tc>
          <w:tcPr>
            <w:tcW w:type="dxa" w:w="1205"/>
          </w:tcPr>
          <w:p w14:paraId="4C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Пн</w:t>
            </w:r>
            <w:r>
              <w:rPr>
                <w:color w:val="000000"/>
              </w:rPr>
              <w:t xml:space="preserve"> x 100 / </w:t>
            </w:r>
            <w:r>
              <w:rPr>
                <w:color w:val="000000"/>
              </w:rPr>
              <w:t>Пф</w:t>
            </w:r>
          </w:p>
        </w:tc>
        <w:tc>
          <w:tcPr>
            <w:tcW w:type="dxa" w:w="2237"/>
          </w:tcPr>
          <w:p w14:paraId="4D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Пн</w:t>
            </w:r>
            <w:r>
              <w:rPr>
                <w:color w:val="000000"/>
              </w:rPr>
              <w:t xml:space="preserve"> - количество </w:t>
            </w:r>
            <w:r>
              <w:rPr>
                <w:color w:val="000000"/>
              </w:rPr>
              <w:t>контрольных мероприятий</w:t>
            </w:r>
            <w:r>
              <w:rPr>
                <w:color w:val="000000"/>
              </w:rPr>
              <w:t>, признанных недействительными (ед.)</w:t>
            </w:r>
            <w:r>
              <w:rPr>
                <w:color w:val="000000"/>
              </w:rPr>
              <w:t>;</w:t>
            </w:r>
          </w:p>
          <w:p w14:paraId="4E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Пф</w:t>
            </w:r>
            <w:r>
              <w:rPr>
                <w:color w:val="000000"/>
              </w:rPr>
              <w:t xml:space="preserve"> - количество провед</w:t>
            </w:r>
            <w:r>
              <w:rPr>
                <w:color w:val="000000"/>
              </w:rPr>
              <w:t>ё</w:t>
            </w:r>
            <w:r>
              <w:rPr>
                <w:color w:val="000000"/>
              </w:rPr>
              <w:t xml:space="preserve">нных </w:t>
            </w:r>
            <w:r>
              <w:rPr>
                <w:color w:val="000000"/>
              </w:rPr>
              <w:t>контрольных мероприятий</w:t>
            </w:r>
            <w:r>
              <w:rPr>
                <w:color w:val="000000"/>
              </w:rPr>
              <w:t xml:space="preserve"> (ед.)</w:t>
            </w:r>
          </w:p>
        </w:tc>
        <w:tc>
          <w:tcPr>
            <w:tcW w:type="dxa" w:w="1134"/>
          </w:tcPr>
          <w:p w14:paraId="4F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type="dxa" w:w="1984"/>
          </w:tcPr>
          <w:p w14:paraId="50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846"/>
          </w:tcPr>
          <w:p w14:paraId="51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4</w:t>
            </w:r>
          </w:p>
        </w:tc>
        <w:tc>
          <w:tcPr>
            <w:tcW w:type="dxa" w:w="2370"/>
          </w:tcPr>
          <w:p w14:paraId="52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Доля внеплановых </w:t>
            </w:r>
            <w:r>
              <w:rPr>
                <w:color w:val="000000"/>
              </w:rPr>
              <w:t>контрольных мероприятий</w:t>
            </w:r>
            <w:r>
              <w:rPr>
                <w:color w:val="000000"/>
              </w:rPr>
              <w:t>, которые не удалось провести в связи с отсутствием собственника и т.д.</w:t>
            </w:r>
          </w:p>
          <w:p w14:paraId="53000000">
            <w:pPr>
              <w:ind/>
              <w:contextualSpacing w:val="1"/>
              <w:jc w:val="center"/>
              <w:rPr>
                <w:color w:val="000000"/>
              </w:rPr>
            </w:pPr>
          </w:p>
          <w:p w14:paraId="54000000">
            <w:pPr>
              <w:ind/>
              <w:contextualSpacing w:val="1"/>
              <w:jc w:val="center"/>
              <w:rPr>
                <w:color w:val="000000"/>
              </w:rPr>
            </w:pPr>
          </w:p>
          <w:p w14:paraId="55000000">
            <w:pPr>
              <w:ind/>
              <w:contextualSpacing w:val="1"/>
              <w:jc w:val="center"/>
              <w:rPr>
                <w:color w:val="000000"/>
              </w:rPr>
            </w:pPr>
          </w:p>
          <w:p w14:paraId="56000000">
            <w:pPr>
              <w:ind/>
              <w:contextualSpacing w:val="1"/>
              <w:jc w:val="center"/>
              <w:rPr>
                <w:color w:val="000000"/>
              </w:rPr>
            </w:pPr>
          </w:p>
          <w:p w14:paraId="57000000">
            <w:pPr>
              <w:ind/>
              <w:contextualSpacing w:val="1"/>
              <w:jc w:val="center"/>
              <w:rPr>
                <w:color w:val="000000"/>
              </w:rPr>
            </w:pPr>
          </w:p>
        </w:tc>
        <w:tc>
          <w:tcPr>
            <w:tcW w:type="dxa" w:w="1205"/>
          </w:tcPr>
          <w:p w14:paraId="58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x 100 / </w:t>
            </w:r>
            <w:r>
              <w:rPr>
                <w:color w:val="000000"/>
              </w:rPr>
              <w:t>Пф</w:t>
            </w:r>
          </w:p>
        </w:tc>
        <w:tc>
          <w:tcPr>
            <w:tcW w:type="dxa" w:w="2237"/>
          </w:tcPr>
          <w:p w14:paraId="59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- </w:t>
            </w:r>
            <w:r>
              <w:rPr>
                <w:color w:val="000000"/>
              </w:rPr>
              <w:t>контрольные мероприятий</w:t>
            </w:r>
            <w:r>
              <w:rPr>
                <w:color w:val="000000"/>
              </w:rPr>
              <w:t>, не проведённые по причине отсутствия проверяемого лица (ед.)</w:t>
            </w:r>
            <w:r>
              <w:rPr>
                <w:color w:val="000000"/>
              </w:rPr>
              <w:t>;</w:t>
            </w:r>
          </w:p>
          <w:p w14:paraId="5A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Пф</w:t>
            </w:r>
            <w:r>
              <w:rPr>
                <w:color w:val="000000"/>
              </w:rPr>
              <w:t xml:space="preserve"> - количество проведённых </w:t>
            </w:r>
            <w:r>
              <w:rPr>
                <w:color w:val="000000"/>
              </w:rPr>
              <w:t>контрольных мероприятий</w:t>
            </w:r>
            <w:r>
              <w:rPr>
                <w:color w:val="000000"/>
              </w:rPr>
              <w:t xml:space="preserve"> (ед.)</w:t>
            </w:r>
          </w:p>
        </w:tc>
        <w:tc>
          <w:tcPr>
            <w:tcW w:type="dxa" w:w="1134"/>
          </w:tcPr>
          <w:p w14:paraId="5B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  <w:tc>
          <w:tcPr>
            <w:tcW w:type="dxa" w:w="1984"/>
          </w:tcPr>
          <w:p w14:paraId="5C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846"/>
          </w:tcPr>
          <w:p w14:paraId="5D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5</w:t>
            </w:r>
          </w:p>
        </w:tc>
        <w:tc>
          <w:tcPr>
            <w:tcW w:type="dxa" w:w="2370"/>
          </w:tcPr>
          <w:p w14:paraId="5E000000">
            <w:pPr>
              <w:ind/>
              <w:contextualSpacing w:val="1"/>
              <w:rPr>
                <w:color w:val="000000"/>
              </w:rPr>
            </w:pPr>
            <w:r>
              <w:rPr>
                <w:color w:val="000000"/>
              </w:rPr>
              <w:t xml:space="preserve">Доля заявлений, направленных на согласование в прокуратуру о проведении внеплановых </w:t>
            </w:r>
            <w:r>
              <w:rPr>
                <w:color w:val="000000"/>
              </w:rPr>
              <w:t xml:space="preserve">контрольных </w:t>
            </w:r>
          </w:p>
        </w:tc>
        <w:tc>
          <w:tcPr>
            <w:tcW w:type="dxa" w:w="1205"/>
          </w:tcPr>
          <w:p w14:paraId="5F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Кзо</w:t>
            </w:r>
            <w:r>
              <w:rPr>
                <w:color w:val="000000"/>
              </w:rPr>
              <w:t xml:space="preserve"> х 100 / </w:t>
            </w:r>
            <w:r>
              <w:rPr>
                <w:color w:val="000000"/>
              </w:rPr>
              <w:t>Кпз</w:t>
            </w:r>
          </w:p>
        </w:tc>
        <w:tc>
          <w:tcPr>
            <w:tcW w:type="dxa" w:w="2237"/>
          </w:tcPr>
          <w:p w14:paraId="60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Кзо</w:t>
            </w:r>
            <w:r>
              <w:rPr>
                <w:color w:val="000000"/>
              </w:rPr>
              <w:t xml:space="preserve"> - количество заявлений, по которым пришёл отказ в согласовании (ед.)</w:t>
            </w:r>
            <w:r>
              <w:rPr>
                <w:color w:val="000000"/>
              </w:rPr>
              <w:t>;</w:t>
            </w:r>
          </w:p>
          <w:p w14:paraId="61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Кпз</w:t>
            </w:r>
            <w:r>
              <w:rPr>
                <w:color w:val="000000"/>
              </w:rPr>
              <w:t xml:space="preserve"> - количество поданных на </w:t>
            </w:r>
          </w:p>
          <w:p w14:paraId="62000000">
            <w:pPr>
              <w:ind/>
              <w:contextualSpacing w:val="1"/>
              <w:jc w:val="center"/>
              <w:rPr>
                <w:color w:val="000000"/>
              </w:rPr>
            </w:pPr>
          </w:p>
        </w:tc>
        <w:tc>
          <w:tcPr>
            <w:tcW w:type="dxa" w:w="1134"/>
          </w:tcPr>
          <w:p w14:paraId="63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type="dxa" w:w="1984"/>
          </w:tcPr>
          <w:p w14:paraId="64000000">
            <w:pPr>
              <w:ind/>
              <w:contextualSpacing w:val="1"/>
              <w:jc w:val="center"/>
              <w:rPr>
                <w:color w:val="000000"/>
              </w:rPr>
            </w:pPr>
          </w:p>
        </w:tc>
      </w:tr>
      <w:tr>
        <w:tc>
          <w:tcPr>
            <w:tcW w:type="dxa" w:w="846"/>
          </w:tcPr>
          <w:p w14:paraId="6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370"/>
          </w:tcPr>
          <w:p w14:paraId="6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05"/>
          </w:tcPr>
          <w:p w14:paraId="6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237"/>
          </w:tcPr>
          <w:p w14:paraId="6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134"/>
          </w:tcPr>
          <w:p w14:paraId="6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984"/>
          </w:tcPr>
          <w:p w14:paraId="6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846"/>
          </w:tcPr>
          <w:p w14:paraId="6B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70"/>
          </w:tcPr>
          <w:p w14:paraId="6C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>мероприятий</w:t>
            </w:r>
            <w:r>
              <w:rPr>
                <w:color w:val="000000"/>
              </w:rPr>
              <w:t>, в согласовании которых было отказано</w:t>
            </w:r>
          </w:p>
        </w:tc>
        <w:tc>
          <w:tcPr>
            <w:tcW w:type="dxa" w:w="1205"/>
          </w:tcPr>
          <w:p w14:paraId="6D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237"/>
          </w:tcPr>
          <w:p w14:paraId="6E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>согласование заявлений</w:t>
            </w:r>
          </w:p>
        </w:tc>
        <w:tc>
          <w:tcPr>
            <w:tcW w:type="dxa" w:w="1134"/>
          </w:tcPr>
          <w:p w14:paraId="6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84"/>
          </w:tcPr>
          <w:p w14:paraId="70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846"/>
          </w:tcPr>
          <w:p w14:paraId="71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6</w:t>
            </w:r>
          </w:p>
        </w:tc>
        <w:tc>
          <w:tcPr>
            <w:tcW w:type="dxa" w:w="2370"/>
          </w:tcPr>
          <w:p w14:paraId="72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Доля </w:t>
            </w:r>
            <w:r>
              <w:rPr>
                <w:color w:val="000000"/>
              </w:rPr>
              <w:t>контрольных мероприятий</w:t>
            </w:r>
            <w:r>
              <w:rPr>
                <w:color w:val="000000"/>
              </w:rPr>
              <w:t>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type="dxa" w:w="1205"/>
          </w:tcPr>
          <w:p w14:paraId="73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Кнм</w:t>
            </w:r>
            <w:r>
              <w:rPr>
                <w:color w:val="000000"/>
              </w:rPr>
              <w:t xml:space="preserve"> х 100 / </w:t>
            </w:r>
            <w:r>
              <w:rPr>
                <w:color w:val="000000"/>
              </w:rPr>
              <w:t>Квн</w:t>
            </w:r>
          </w:p>
        </w:tc>
        <w:tc>
          <w:tcPr>
            <w:tcW w:type="dxa" w:w="2237"/>
          </w:tcPr>
          <w:p w14:paraId="74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нм</w:t>
            </w:r>
            <w:r>
              <w:rPr>
                <w:color w:val="000000"/>
              </w:rPr>
              <w:t xml:space="preserve"> - количество материалов, направленных в уполномоченные органы (ед.)</w:t>
            </w:r>
            <w:r>
              <w:rPr>
                <w:color w:val="000000"/>
              </w:rPr>
              <w:t>;</w:t>
            </w:r>
          </w:p>
          <w:p w14:paraId="75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Квн</w:t>
            </w:r>
            <w:r>
              <w:rPr>
                <w:color w:val="000000"/>
              </w:rPr>
              <w:t xml:space="preserve"> - количество выявленных нарушений (ед.)</w:t>
            </w:r>
          </w:p>
        </w:tc>
        <w:tc>
          <w:tcPr>
            <w:tcW w:type="dxa" w:w="1134"/>
          </w:tcPr>
          <w:p w14:paraId="76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type="dxa" w:w="1984"/>
          </w:tcPr>
          <w:p w14:paraId="77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846"/>
          </w:tcPr>
          <w:p w14:paraId="78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>7</w:t>
            </w:r>
          </w:p>
        </w:tc>
        <w:tc>
          <w:tcPr>
            <w:tcW w:type="dxa" w:w="2370"/>
          </w:tcPr>
          <w:p w14:paraId="79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проведённых </w:t>
            </w:r>
            <w:r>
              <w:rPr>
                <w:color w:val="000000"/>
              </w:rPr>
              <w:t>контрольных</w:t>
            </w:r>
            <w:r>
              <w:rPr>
                <w:color w:val="000000"/>
              </w:rPr>
              <w:t xml:space="preserve"> мероприятий</w:t>
            </w:r>
          </w:p>
        </w:tc>
        <w:tc>
          <w:tcPr>
            <w:tcW w:type="dxa" w:w="1205"/>
          </w:tcPr>
          <w:p w14:paraId="7A000000">
            <w:pPr>
              <w:ind/>
              <w:contextualSpacing w:val="1"/>
              <w:jc w:val="center"/>
              <w:rPr>
                <w:color w:val="000000"/>
              </w:rPr>
            </w:pPr>
          </w:p>
        </w:tc>
        <w:tc>
          <w:tcPr>
            <w:tcW w:type="dxa" w:w="2237"/>
          </w:tcPr>
          <w:p w14:paraId="7B000000">
            <w:pPr>
              <w:ind/>
              <w:contextualSpacing w:val="1"/>
              <w:jc w:val="center"/>
              <w:rPr>
                <w:color w:val="000000"/>
              </w:rPr>
            </w:pPr>
          </w:p>
        </w:tc>
        <w:tc>
          <w:tcPr>
            <w:tcW w:type="dxa" w:w="1134"/>
          </w:tcPr>
          <w:p w14:paraId="7C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type="dxa" w:w="1984"/>
          </w:tcPr>
          <w:p w14:paraId="7D000000">
            <w:pPr>
              <w:ind/>
              <w:contextualSpacing w:val="1"/>
              <w:jc w:val="center"/>
              <w:rPr>
                <w:color w:val="000000"/>
              </w:rPr>
            </w:pPr>
          </w:p>
        </w:tc>
      </w:tr>
      <w:tr>
        <w:tc>
          <w:tcPr>
            <w:tcW w:type="dxa" w:w="846"/>
          </w:tcPr>
          <w:p w14:paraId="7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930"/>
            <w:gridSpan w:val="5"/>
          </w:tcPr>
          <w:p w14:paraId="7F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>
        <w:tc>
          <w:tcPr>
            <w:tcW w:type="dxa" w:w="846"/>
          </w:tcPr>
          <w:p w14:paraId="80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type="dxa" w:w="2370"/>
          </w:tcPr>
          <w:p w14:paraId="81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штатных единиц</w:t>
            </w:r>
          </w:p>
        </w:tc>
        <w:tc>
          <w:tcPr>
            <w:tcW w:type="dxa" w:w="1205"/>
          </w:tcPr>
          <w:p w14:paraId="82000000">
            <w:pPr>
              <w:ind/>
              <w:contextualSpacing w:val="1"/>
              <w:jc w:val="center"/>
              <w:rPr>
                <w:color w:val="000000"/>
              </w:rPr>
            </w:pPr>
          </w:p>
        </w:tc>
        <w:tc>
          <w:tcPr>
            <w:tcW w:type="dxa" w:w="2237"/>
          </w:tcPr>
          <w:p w14:paraId="83000000">
            <w:pPr>
              <w:ind/>
              <w:contextualSpacing w:val="1"/>
              <w:jc w:val="center"/>
              <w:rPr>
                <w:color w:val="000000"/>
              </w:rPr>
            </w:pPr>
          </w:p>
        </w:tc>
        <w:tc>
          <w:tcPr>
            <w:tcW w:type="dxa" w:w="1134"/>
          </w:tcPr>
          <w:p w14:paraId="84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ел.</w:t>
            </w:r>
          </w:p>
        </w:tc>
        <w:tc>
          <w:tcPr>
            <w:tcW w:type="dxa" w:w="1984"/>
          </w:tcPr>
          <w:p w14:paraId="85000000">
            <w:pPr>
              <w:ind/>
              <w:contextualSpacing w:val="1"/>
              <w:jc w:val="center"/>
              <w:rPr>
                <w:color w:val="000000"/>
              </w:rPr>
            </w:pPr>
          </w:p>
        </w:tc>
      </w:tr>
      <w:tr>
        <w:tc>
          <w:tcPr>
            <w:tcW w:type="dxa" w:w="846"/>
          </w:tcPr>
          <w:p w14:paraId="86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type="dxa" w:w="2370"/>
          </w:tcPr>
          <w:p w14:paraId="87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Нагрузка контрольных мероприятий на работников </w:t>
            </w:r>
            <w:r>
              <w:rPr>
                <w:color w:val="000000"/>
              </w:rPr>
              <w:t>администрации Туапсинско</w:t>
            </w:r>
            <w:r>
              <w:rPr>
                <w:color w:val="000000"/>
              </w:rPr>
              <w:t>го муниципального округа</w:t>
            </w:r>
          </w:p>
        </w:tc>
        <w:tc>
          <w:tcPr>
            <w:tcW w:type="dxa" w:w="1205"/>
          </w:tcPr>
          <w:p w14:paraId="88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Км/</w:t>
            </w:r>
            <w:r>
              <w:rPr>
                <w:color w:val="000000"/>
              </w:rPr>
              <w:t>Кр</w:t>
            </w:r>
            <w:r>
              <w:rPr>
                <w:color w:val="000000"/>
              </w:rPr>
              <w:t>=</w:t>
            </w:r>
          </w:p>
          <w:p w14:paraId="89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Нк</w:t>
            </w:r>
          </w:p>
        </w:tc>
        <w:tc>
          <w:tcPr>
            <w:tcW w:type="dxa" w:w="2237"/>
          </w:tcPr>
          <w:p w14:paraId="8A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Км – колич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ство контрольных мероприятий (ед.)</w:t>
            </w:r>
            <w:r>
              <w:rPr>
                <w:color w:val="000000"/>
              </w:rPr>
              <w:t>;</w:t>
            </w:r>
          </w:p>
          <w:p w14:paraId="8B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Кр</w:t>
            </w:r>
            <w:r>
              <w:rPr>
                <w:color w:val="000000"/>
              </w:rPr>
              <w:t xml:space="preserve"> – количество работников </w:t>
            </w:r>
            <w:r>
              <w:rPr>
                <w:color w:val="000000"/>
              </w:rPr>
              <w:t>Администрации</w:t>
            </w:r>
            <w:r>
              <w:rPr>
                <w:color w:val="000000"/>
              </w:rPr>
              <w:t xml:space="preserve"> (ед.)</w:t>
            </w:r>
            <w:r>
              <w:rPr>
                <w:color w:val="000000"/>
              </w:rPr>
              <w:t>;</w:t>
            </w:r>
          </w:p>
          <w:p w14:paraId="8C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Нк</w:t>
            </w:r>
            <w:r>
              <w:rPr>
                <w:color w:val="000000"/>
              </w:rPr>
              <w:t xml:space="preserve"> – нагрузка на </w:t>
            </w:r>
          </w:p>
          <w:p w14:paraId="8D000000">
            <w:pPr>
              <w:ind/>
              <w:contextualSpacing w:val="1"/>
              <w:jc w:val="center"/>
              <w:rPr>
                <w:color w:val="000000"/>
              </w:rPr>
            </w:pPr>
            <w:r>
              <w:rPr>
                <w:color w:val="000000"/>
              </w:rPr>
              <w:t>1 работника (ед.)</w:t>
            </w:r>
          </w:p>
        </w:tc>
        <w:tc>
          <w:tcPr>
            <w:tcW w:type="dxa" w:w="1134"/>
          </w:tcPr>
          <w:p w14:paraId="8E000000">
            <w:pPr>
              <w:ind/>
              <w:contextualSpacing w:val="1"/>
              <w:jc w:val="center"/>
              <w:rPr>
                <w:color w:val="000000"/>
              </w:rPr>
            </w:pPr>
          </w:p>
        </w:tc>
        <w:tc>
          <w:tcPr>
            <w:tcW w:type="dxa" w:w="1984"/>
          </w:tcPr>
          <w:p w14:paraId="8F000000">
            <w:pPr>
              <w:ind/>
              <w:jc w:val="center"/>
              <w:rPr>
                <w:sz w:val="28"/>
              </w:rPr>
            </w:pPr>
          </w:p>
        </w:tc>
      </w:tr>
    </w:tbl>
    <w:p w14:paraId="90000000">
      <w:pPr>
        <w:ind/>
        <w:jc w:val="both"/>
        <w:rPr>
          <w:sz w:val="28"/>
        </w:rPr>
      </w:pPr>
    </w:p>
    <w:p w14:paraId="91000000">
      <w:pPr>
        <w:ind/>
        <w:contextualSpacing w:val="1"/>
        <w:jc w:val="center"/>
        <w:rPr>
          <w:sz w:val="28"/>
        </w:rPr>
      </w:pPr>
    </w:p>
    <w:p w14:paraId="92000000">
      <w:pPr>
        <w:ind/>
        <w:contextualSpacing w:val="1"/>
        <w:jc w:val="center"/>
        <w:rPr>
          <w:sz w:val="28"/>
        </w:rPr>
      </w:pPr>
    </w:p>
    <w:p w14:paraId="93000000">
      <w:pPr>
        <w:ind/>
        <w:contextualSpacing w:val="1"/>
        <w:jc w:val="both"/>
        <w:rPr>
          <w:sz w:val="28"/>
        </w:rPr>
      </w:pPr>
      <w:r>
        <w:rPr>
          <w:sz w:val="28"/>
        </w:rPr>
        <w:t>Начальник управления транспорта</w:t>
      </w:r>
    </w:p>
    <w:p w14:paraId="94000000">
      <w:pPr>
        <w:ind/>
        <w:contextualSpacing w:val="1"/>
        <w:jc w:val="both"/>
        <w:rPr>
          <w:sz w:val="28"/>
        </w:rPr>
      </w:pPr>
      <w:r>
        <w:rPr>
          <w:sz w:val="28"/>
        </w:rPr>
        <w:t xml:space="preserve">и дорожного хозяйства администрации </w:t>
      </w:r>
    </w:p>
    <w:p w14:paraId="95000000">
      <w:pPr>
        <w:ind/>
        <w:contextualSpacing w:val="1"/>
        <w:jc w:val="both"/>
        <w:rPr>
          <w:sz w:val="28"/>
        </w:rPr>
      </w:pPr>
      <w:r>
        <w:rPr>
          <w:sz w:val="28"/>
        </w:rPr>
        <w:t>Туапсинского муниципального округа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Н.Г. Григорьев     </w:t>
      </w:r>
    </w:p>
    <w:p w14:paraId="96000000">
      <w:pPr>
        <w:ind/>
        <w:contextualSpacing w:val="1"/>
        <w:jc w:val="center"/>
        <w:rPr>
          <w:sz w:val="28"/>
        </w:rPr>
      </w:pPr>
    </w:p>
    <w:p w14:paraId="97000000">
      <w:pPr>
        <w:ind/>
        <w:contextualSpacing w:val="1"/>
        <w:jc w:val="center"/>
        <w:rPr>
          <w:sz w:val="28"/>
        </w:rPr>
      </w:pPr>
    </w:p>
    <w:p w14:paraId="98000000">
      <w:pPr>
        <w:pStyle w:val="Style_6"/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</w:p>
    <w:p w14:paraId="99000000">
      <w:pPr>
        <w:pStyle w:val="Style_6"/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</w:p>
    <w:p w14:paraId="9A000000">
      <w:pPr>
        <w:pStyle w:val="Style_6"/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</w:p>
    <w:p w14:paraId="9B000000">
      <w:pPr>
        <w:pStyle w:val="Style_6"/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</w:p>
    <w:p w14:paraId="9C000000"/>
    <w:p w14:paraId="9D000000"/>
    <w:p w14:paraId="9E000000"/>
    <w:p w14:paraId="9F000000">
      <w:pPr>
        <w:rPr>
          <w:sz w:val="28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pgSz w:h="16838" w:orient="portrait" w:w="11906"/>
      <w:pgMar w:bottom="85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  <w:bookmarkStart w:id="1" w:name="_GoBack"/>
    <w:bookmarkEnd w:id="1"/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"/>
    <w:basedOn w:val="Style_7"/>
    <w:link w:val="Style_15_ch"/>
    <w:rPr>
      <w:rFonts w:ascii="Segoe UI" w:hAnsi="Segoe UI"/>
      <w:sz w:val="18"/>
    </w:rPr>
  </w:style>
  <w:style w:styleId="Style_15_ch" w:type="character">
    <w:name w:val="Balloon Text"/>
    <w:basedOn w:val="Style_7_ch"/>
    <w:link w:val="Style_15"/>
    <w:rPr>
      <w:rFonts w:ascii="Segoe UI" w:hAnsi="Segoe UI"/>
      <w:sz w:val="18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6" w:type="paragraph">
    <w:name w:val="ConsTitle"/>
    <w:link w:val="Style_6_ch"/>
    <w:pPr>
      <w:widowControl w:val="0"/>
      <w:spacing w:after="0" w:line="240" w:lineRule="auto"/>
      <w:ind/>
    </w:pPr>
    <w:rPr>
      <w:rFonts w:ascii="Arial" w:hAnsi="Arial"/>
      <w:b w:val="1"/>
      <w:sz w:val="16"/>
    </w:rPr>
  </w:style>
  <w:style w:styleId="Style_6_ch" w:type="character">
    <w:name w:val="ConsTitle"/>
    <w:link w:val="Style_6"/>
    <w:rPr>
      <w:rFonts w:ascii="Arial" w:hAnsi="Arial"/>
      <w:b w:val="1"/>
      <w:sz w:val="16"/>
    </w:rPr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7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7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7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4" w:type="paragraph">
    <w:name w:val="List Paragraph"/>
    <w:basedOn w:val="Style_7"/>
    <w:link w:val="Style_4_ch"/>
    <w:pPr>
      <w:ind w:firstLine="0" w:left="720"/>
      <w:contextualSpacing w:val="1"/>
    </w:pPr>
  </w:style>
  <w:style w:styleId="Style_4_ch" w:type="character">
    <w:name w:val="List Paragraph"/>
    <w:basedOn w:val="Style_7_ch"/>
    <w:link w:val="Style_4"/>
  </w:style>
  <w:style w:styleId="Style_25" w:type="paragraph">
    <w:name w:val="toc 5"/>
    <w:next w:val="Style_7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7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7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5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2025-09-01T08:02:18Z</dcterms:modified>
</cp:coreProperties>
</file>